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835"/>
        <w:gridCol w:w="6242"/>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B26B63" w:rsidRDefault="00B32C61" w:rsidP="00B26B63">
            <w:pPr>
              <w:rPr>
                <w:rFonts w:ascii="Arial" w:hAnsi="Arial"/>
                <w:b/>
                <w:bCs/>
                <w:sz w:val="26"/>
                <w:szCs w:val="26"/>
                <w:rtl/>
              </w:rPr>
            </w:pPr>
            <w:r w:rsidRPr="00B26B63">
              <w:rPr>
                <w:rFonts w:ascii="Arial" w:hAnsi="Arial" w:hint="cs"/>
                <w:b/>
                <w:bCs/>
                <w:sz w:val="26"/>
                <w:szCs w:val="26"/>
                <w:rtl/>
              </w:rPr>
              <w:t>כבוד</w:t>
            </w:r>
            <w:r w:rsidR="006816EC" w:rsidRPr="00B26B63">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B26B63">
                  <w:rPr>
                    <w:rFonts w:ascii="Arial" w:hAnsi="Arial"/>
                    <w:b/>
                    <w:bCs/>
                    <w:sz w:val="26"/>
                    <w:szCs w:val="26"/>
                    <w:rtl/>
                  </w:rPr>
                  <w:t>שופט</w:t>
                </w:r>
                <w:r w:rsidR="00B26B63" w:rsidRPr="00B26B63">
                  <w:rPr>
                    <w:rFonts w:ascii="Arial" w:hAnsi="Arial" w:hint="cs"/>
                    <w:b/>
                    <w:bCs/>
                    <w:sz w:val="26"/>
                    <w:szCs w:val="26"/>
                    <w:rtl/>
                  </w:rPr>
                  <w:t>ים</w:t>
                </w:r>
              </w:sdtContent>
            </w:sdt>
            <w:r w:rsidR="006816EC" w:rsidRPr="00B26B63">
              <w:rPr>
                <w:rFonts w:ascii="Arial" w:hAnsi="Arial" w:hint="cs"/>
                <w:b/>
                <w:bCs/>
                <w:sz w:val="26"/>
                <w:szCs w:val="26"/>
                <w:rtl/>
              </w:rPr>
              <w:t xml:space="preserve"> </w:t>
            </w:r>
            <w:r w:rsidR="00B26B63" w:rsidRPr="00B26B63">
              <w:rPr>
                <w:rFonts w:ascii="Arial" w:hAnsi="Arial" w:hint="cs"/>
                <w:b/>
                <w:bCs/>
                <w:sz w:val="26"/>
                <w:szCs w:val="26"/>
                <w:rtl/>
              </w:rPr>
              <w:t>יונה</w:t>
            </w:r>
            <w:r w:rsidR="006816EC" w:rsidRPr="00B26B63">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B26B63">
                  <w:rPr>
                    <w:rFonts w:ascii="Arial" w:hAnsi="Arial"/>
                    <w:b/>
                    <w:bCs/>
                    <w:sz w:val="26"/>
                    <w:szCs w:val="26"/>
                    <w:rtl/>
                  </w:rPr>
                  <w:t>אטדגי</w:t>
                </w:r>
              </w:sdtContent>
            </w:sdt>
            <w:r w:rsidR="00B26B63" w:rsidRPr="00B26B63">
              <w:rPr>
                <w:rFonts w:hint="cs"/>
                <w:b/>
                <w:bCs/>
                <w:sz w:val="26"/>
                <w:szCs w:val="26"/>
                <w:rtl/>
              </w:rPr>
              <w:t xml:space="preserve">, אב"ד, </w:t>
            </w:r>
            <w:r w:rsidR="00B26B63" w:rsidRPr="00B26B63">
              <w:rPr>
                <w:rFonts w:ascii="Arial" w:hAnsi="Arial" w:hint="cs"/>
                <w:b/>
                <w:bCs/>
                <w:sz w:val="26"/>
                <w:szCs w:val="26"/>
                <w:rtl/>
              </w:rPr>
              <w:t xml:space="preserve">עידית </w:t>
            </w:r>
            <w:sdt>
              <w:sdtPr>
                <w:rPr>
                  <w:b/>
                  <w:bCs/>
                  <w:sz w:val="26"/>
                  <w:szCs w:val="26"/>
                  <w:rtl/>
                </w:rPr>
                <w:alias w:val="1573"/>
                <w:tag w:val="1573"/>
                <w:id w:val="-673337691"/>
                <w:text w:multiLine="1"/>
              </w:sdtPr>
              <w:sdtEndPr/>
              <w:sdtContent>
                <w:r w:rsidRPr="00B26B63">
                  <w:rPr>
                    <w:rFonts w:ascii="Arial" w:hAnsi="Arial"/>
                    <w:b/>
                    <w:bCs/>
                    <w:sz w:val="26"/>
                    <w:szCs w:val="26"/>
                    <w:rtl/>
                  </w:rPr>
                  <w:t>ברקוביץ</w:t>
                </w:r>
              </w:sdtContent>
            </w:sdt>
            <w:r w:rsidR="00B26B63" w:rsidRPr="00B26B63">
              <w:rPr>
                <w:rFonts w:ascii="Arial" w:hAnsi="Arial" w:hint="cs"/>
                <w:b/>
                <w:bCs/>
                <w:sz w:val="26"/>
                <w:szCs w:val="26"/>
                <w:rtl/>
              </w:rPr>
              <w:t xml:space="preserve">, טל </w:t>
            </w:r>
            <w:sdt>
              <w:sdtPr>
                <w:rPr>
                  <w:b/>
                  <w:bCs/>
                  <w:sz w:val="26"/>
                  <w:szCs w:val="26"/>
                  <w:rtl/>
                </w:rPr>
                <w:alias w:val="1573"/>
                <w:tag w:val="1573"/>
                <w:id w:val="296342346"/>
                <w:text w:multiLine="1"/>
              </w:sdtPr>
              <w:sdtEndPr/>
              <w:sdtContent>
                <w:r w:rsidRPr="00B26B63">
                  <w:rPr>
                    <w:rFonts w:ascii="Arial" w:hAnsi="Arial"/>
                    <w:b/>
                    <w:bCs/>
                    <w:sz w:val="26"/>
                    <w:szCs w:val="26"/>
                    <w:rtl/>
                  </w:rPr>
                  <w:t>לוי-מיכאלי</w:t>
                </w:r>
              </w:sdtContent>
            </w:sdt>
          </w:p>
          <w:p w:rsidR="006816EC" w:rsidRPr="00B26B63" w:rsidRDefault="006816EC" w:rsidP="006816EC">
            <w:pPr>
              <w:rPr>
                <w:b/>
                <w:bCs/>
                <w:sz w:val="26"/>
                <w:szCs w:val="26"/>
              </w:rPr>
            </w:pPr>
          </w:p>
        </w:tc>
      </w:tr>
      <w:tr w:rsidR="006816EC" w:rsidRPr="00CD0055" w:rsidTr="00B26B63">
        <w:trPr>
          <w:jc w:val="center"/>
        </w:trPr>
        <w:tc>
          <w:tcPr>
            <w:tcW w:w="2578"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256797" w:rsidRDefault="00B26B63">
                <w:pPr>
                  <w:rPr>
                    <w:rFonts w:ascii="Arial (W1)" w:hAnsi="Arial (W1)"/>
                    <w:b/>
                    <w:bCs/>
                    <w:noProof w:val="0"/>
                    <w:sz w:val="26"/>
                    <w:szCs w:val="26"/>
                  </w:rPr>
                </w:pPr>
                <w:r>
                  <w:rPr>
                    <w:rFonts w:hint="cs"/>
                    <w:b/>
                    <w:bCs/>
                    <w:noProof w:val="0"/>
                    <w:sz w:val="26"/>
                    <w:szCs w:val="26"/>
                    <w:rtl/>
                  </w:rPr>
                  <w:t>ה</w:t>
                </w:r>
                <w:r w:rsidR="002E3B62">
                  <w:rPr>
                    <w:rFonts w:hint="cs"/>
                    <w:b/>
                    <w:bCs/>
                    <w:noProof w:val="0"/>
                    <w:sz w:val="26"/>
                    <w:szCs w:val="26"/>
                    <w:rtl/>
                  </w:rPr>
                  <w:t>מערערים</w:t>
                </w:r>
                <w:r>
                  <w:rPr>
                    <w:rFonts w:hint="cs"/>
                    <w:b/>
                    <w:bCs/>
                    <w:noProof w:val="0"/>
                    <w:sz w:val="26"/>
                    <w:szCs w:val="26"/>
                    <w:rtl/>
                  </w:rPr>
                  <w:t>:</w:t>
                </w:r>
              </w:p>
            </w:sdtContent>
          </w:sdt>
        </w:tc>
        <w:tc>
          <w:tcPr>
            <w:tcW w:w="6242" w:type="dxa"/>
          </w:tcPr>
          <w:p w:rsidR="006816EC" w:rsidRPr="00CD0055" w:rsidRDefault="006816EC">
            <w:pPr>
              <w:rPr>
                <w:rFonts w:ascii="Arial (W1)" w:hAnsi="Arial (W1)"/>
                <w:b/>
                <w:bCs/>
                <w:noProof w:val="0"/>
                <w:sz w:val="26"/>
                <w:szCs w:val="26"/>
                <w:rtl/>
              </w:rPr>
            </w:pPr>
          </w:p>
          <w:p w:rsidR="00295DD1" w:rsidRPr="00B26B63" w:rsidRDefault="000517D1">
            <w:pPr>
              <w:rPr>
                <w:b/>
                <w:bCs/>
                <w:sz w:val="26"/>
                <w:szCs w:val="26"/>
                <w:rtl/>
              </w:rPr>
            </w:pPr>
            <w:sdt>
              <w:sdtPr>
                <w:rPr>
                  <w:rFonts w:hint="cs"/>
                  <w:b/>
                  <w:bCs/>
                  <w:sz w:val="26"/>
                  <w:szCs w:val="26"/>
                  <w:rtl/>
                </w:rPr>
                <w:alias w:val="1478"/>
                <w:tag w:val="1478"/>
                <w:id w:val="160126198"/>
                <w:text w:multiLine="1"/>
              </w:sdtPr>
              <w:sdtEndPr/>
              <w:sdtContent>
                <w:r w:rsidR="00B26B63" w:rsidRPr="00B26B63">
                  <w:rPr>
                    <w:rFonts w:hint="cs"/>
                    <w:b/>
                    <w:bCs/>
                    <w:noProof w:val="0"/>
                    <w:sz w:val="26"/>
                    <w:szCs w:val="26"/>
                    <w:rtl/>
                  </w:rPr>
                  <w:t xml:space="preserve">1. </w:t>
                </w:r>
                <w:r w:rsidR="006B5553" w:rsidRPr="00B26B63">
                  <w:rPr>
                    <w:rFonts w:hint="cs"/>
                    <w:b/>
                    <w:bCs/>
                    <w:noProof w:val="0"/>
                    <w:sz w:val="26"/>
                    <w:szCs w:val="26"/>
                    <w:rtl/>
                  </w:rPr>
                  <w:t>יוסף חיים אליהו</w:t>
                </w:r>
                <w:r w:rsidR="00B26B63" w:rsidRPr="00B26B63">
                  <w:rPr>
                    <w:b/>
                    <w:bCs/>
                    <w:noProof w:val="0"/>
                    <w:sz w:val="26"/>
                    <w:szCs w:val="26"/>
                    <w:rtl/>
                  </w:rPr>
                  <w:br/>
                </w:r>
                <w:r w:rsidR="00B26B63" w:rsidRPr="00B26B63">
                  <w:rPr>
                    <w:rFonts w:hint="cs"/>
                    <w:b/>
                    <w:bCs/>
                    <w:sz w:val="26"/>
                    <w:szCs w:val="26"/>
                    <w:rtl/>
                  </w:rPr>
                  <w:t xml:space="preserve">2. לנוי אליהו  </w:t>
                </w:r>
              </w:sdtContent>
            </w:sdt>
          </w:p>
          <w:p w:rsidR="006816EC" w:rsidRPr="00B26B63" w:rsidRDefault="00295DD1">
            <w:pPr>
              <w:rPr>
                <w:rFonts w:ascii="Arial (W1)" w:hAnsi="Arial (W1)"/>
                <w:noProof w:val="0"/>
                <w:sz w:val="26"/>
                <w:szCs w:val="26"/>
              </w:rPr>
            </w:pPr>
            <w:r w:rsidRPr="00B26B63">
              <w:rPr>
                <w:rFonts w:hint="cs"/>
                <w:sz w:val="26"/>
                <w:szCs w:val="26"/>
                <w:rtl/>
              </w:rPr>
              <w:t>ע"י ב"כ עו"ד</w:t>
            </w:r>
            <w:r w:rsidR="00B26B63" w:rsidRPr="00B26B63">
              <w:rPr>
                <w:rFonts w:ascii="Arial (W1)" w:hAnsi="Arial (W1)" w:hint="cs"/>
                <w:noProof w:val="0"/>
                <w:sz w:val="26"/>
                <w:szCs w:val="26"/>
                <w:rtl/>
              </w:rPr>
              <w:t xml:space="preserve"> ד"ר אסף דרעי </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B26B63" w:rsidP="00B26B63">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B26B63">
        <w:trPr>
          <w:jc w:val="center"/>
        </w:trPr>
        <w:tc>
          <w:tcPr>
            <w:tcW w:w="2578" w:type="dxa"/>
            <w:gridSpan w:val="2"/>
          </w:tcPr>
          <w:p w:rsidR="006816EC" w:rsidRPr="00CD0055" w:rsidRDefault="006816EC">
            <w:pPr>
              <w:rPr>
                <w:rFonts w:ascii="Arial (W1)" w:hAnsi="Arial (W1)"/>
                <w:b/>
                <w:bCs/>
                <w:noProof w:val="0"/>
                <w:sz w:val="26"/>
                <w:szCs w:val="26"/>
                <w:rtl/>
              </w:rPr>
            </w:pPr>
          </w:p>
          <w:p w:rsidR="006816EC" w:rsidRPr="00CD0055" w:rsidRDefault="000517D1">
            <w:pPr>
              <w:rPr>
                <w:rFonts w:ascii="Arial (W1)" w:hAnsi="Arial (W1)"/>
                <w:b/>
                <w:bCs/>
                <w:noProof w:val="0"/>
                <w:sz w:val="26"/>
                <w:szCs w:val="26"/>
              </w:rPr>
            </w:pPr>
            <w:sdt>
              <w:sdtPr>
                <w:rPr>
                  <w:rFonts w:hint="cs"/>
                  <w:sz w:val="26"/>
                  <w:szCs w:val="26"/>
                  <w:rtl/>
                </w:rPr>
                <w:alias w:val="1184"/>
                <w:tag w:val="1184"/>
                <w:id w:val="-910234160"/>
                <w:text w:multiLine="1"/>
              </w:sdtPr>
              <w:sdtEndPr/>
              <w:sdtContent>
                <w:r w:rsidR="00B26B63">
                  <w:rPr>
                    <w:rFonts w:hint="cs"/>
                    <w:b/>
                    <w:bCs/>
                    <w:noProof w:val="0"/>
                    <w:sz w:val="26"/>
                    <w:szCs w:val="26"/>
                    <w:rtl/>
                  </w:rPr>
                  <w:t xml:space="preserve">המשיבה: </w:t>
                </w:r>
              </w:sdtContent>
            </w:sdt>
          </w:p>
        </w:tc>
        <w:tc>
          <w:tcPr>
            <w:tcW w:w="6242" w:type="dxa"/>
          </w:tcPr>
          <w:p w:rsidR="006816EC" w:rsidRPr="00CD0055" w:rsidRDefault="006816EC">
            <w:pPr>
              <w:rPr>
                <w:rFonts w:ascii="Arial (W1)" w:hAnsi="Arial (W1)"/>
                <w:b/>
                <w:bCs/>
                <w:noProof w:val="0"/>
                <w:sz w:val="26"/>
                <w:szCs w:val="26"/>
                <w:rtl/>
              </w:rPr>
            </w:pPr>
          </w:p>
          <w:p w:rsidR="00295DD1" w:rsidRDefault="000517D1">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חלמיש חברה ממשלתית עירונית לדיור לשיקום ולהתחדשות</w:t>
                </w:r>
              </w:sdtContent>
            </w:sdt>
          </w:p>
          <w:p w:rsidR="006816EC" w:rsidRPr="00CD0055" w:rsidRDefault="00295DD1">
            <w:pPr>
              <w:rPr>
                <w:rFonts w:ascii="Arial (W1)" w:hAnsi="Arial (W1)"/>
                <w:b/>
                <w:bCs/>
                <w:noProof w:val="0"/>
                <w:sz w:val="26"/>
                <w:szCs w:val="26"/>
              </w:rPr>
            </w:pPr>
            <w:r>
              <w:rPr>
                <w:rFonts w:hint="cs"/>
                <w:sz w:val="26"/>
                <w:szCs w:val="26"/>
                <w:rtl/>
              </w:rPr>
              <w:t>ע"י ב"כ עו"</w:t>
            </w:r>
            <w:r w:rsidRPr="000205FB">
              <w:rPr>
                <w:rFonts w:hint="cs"/>
                <w:sz w:val="26"/>
                <w:szCs w:val="26"/>
                <w:rtl/>
              </w:rPr>
              <w:t>ד</w:t>
            </w:r>
            <w:r w:rsidR="00B26B63" w:rsidRPr="000205FB">
              <w:rPr>
                <w:rFonts w:ascii="Arial (W1)" w:hAnsi="Arial (W1)" w:hint="cs"/>
                <w:noProof w:val="0"/>
                <w:sz w:val="26"/>
                <w:szCs w:val="26"/>
                <w:rtl/>
              </w:rPr>
              <w:t xml:space="preserve"> שרון עזרא</w:t>
            </w:r>
            <w:r w:rsidR="00B26B63">
              <w:rPr>
                <w:rFonts w:ascii="Arial (W1)" w:hAnsi="Arial (W1)" w:hint="cs"/>
                <w:b/>
                <w:bCs/>
                <w:noProof w:val="0"/>
                <w:sz w:val="26"/>
                <w:szCs w:val="26"/>
                <w:rtl/>
              </w:rPr>
              <w:t xml:space="preserve">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8531B" w:rsidRPr="0058531B" w:rsidRDefault="0058531B">
      <w:pPr>
        <w:spacing w:line="360" w:lineRule="auto"/>
        <w:jc w:val="both"/>
        <w:rPr>
          <w:rFonts w:ascii="Arial" w:hAnsi="Arial"/>
          <w:b/>
          <w:bCs/>
          <w:noProof w:val="0"/>
          <w:u w:val="single"/>
          <w:rtl/>
        </w:rPr>
      </w:pPr>
      <w:r w:rsidRPr="0058531B">
        <w:rPr>
          <w:rFonts w:ascii="Arial" w:hAnsi="Arial" w:hint="cs"/>
          <w:b/>
          <w:bCs/>
          <w:noProof w:val="0"/>
          <w:u w:val="single"/>
          <w:rtl/>
        </w:rPr>
        <w:t xml:space="preserve">השופטת ע. ברקוביץ: </w:t>
      </w:r>
    </w:p>
    <w:p w:rsidR="0058531B" w:rsidRDefault="0058531B" w:rsidP="00150E7E">
      <w:pPr>
        <w:pStyle w:val="ad"/>
        <w:numPr>
          <w:ilvl w:val="0"/>
          <w:numId w:val="1"/>
        </w:numPr>
        <w:spacing w:line="360" w:lineRule="auto"/>
        <w:ind w:left="369"/>
        <w:jc w:val="both"/>
        <w:rPr>
          <w:rFonts w:ascii="David" w:hAnsi="David"/>
        </w:rPr>
      </w:pPr>
      <w:r>
        <w:rPr>
          <w:rFonts w:ascii="David" w:hAnsi="David"/>
          <w:rtl/>
        </w:rPr>
        <w:t>ערעור על פסק דין שניתן ביום 8.2.2024 בבית משפט קמא (כב' השופט אודי הקר, להלן: "</w:t>
      </w:r>
      <w:r>
        <w:rPr>
          <w:rFonts w:ascii="David" w:hAnsi="David"/>
          <w:b/>
          <w:bCs/>
          <w:rtl/>
        </w:rPr>
        <w:t>פסק הדין</w:t>
      </w:r>
      <w:r>
        <w:rPr>
          <w:rFonts w:ascii="David" w:hAnsi="David"/>
          <w:rtl/>
        </w:rPr>
        <w:t>"), אשר נעתר לתביעת המשיבה והורה על פינוי המערערים מדירה ברחוב יפת 211 תל אביב (להלן: "</w:t>
      </w:r>
      <w:r>
        <w:rPr>
          <w:rFonts w:ascii="David" w:hAnsi="David"/>
          <w:b/>
          <w:bCs/>
          <w:rtl/>
        </w:rPr>
        <w:t>הדירה</w:t>
      </w:r>
      <w:r>
        <w:rPr>
          <w:rFonts w:ascii="David" w:hAnsi="David"/>
          <w:rtl/>
        </w:rPr>
        <w:t xml:space="preserve">"). </w:t>
      </w:r>
    </w:p>
    <w:p w:rsidR="0058531B" w:rsidRDefault="0058531B" w:rsidP="0058531B">
      <w:pPr>
        <w:pStyle w:val="ad"/>
        <w:spacing w:line="360" w:lineRule="auto"/>
        <w:jc w:val="both"/>
        <w:rPr>
          <w:rFonts w:ascii="David" w:hAnsi="David"/>
        </w:rPr>
      </w:pPr>
    </w:p>
    <w:p w:rsidR="0058531B" w:rsidRDefault="0058531B" w:rsidP="00150E7E">
      <w:pPr>
        <w:pStyle w:val="ad"/>
        <w:numPr>
          <w:ilvl w:val="0"/>
          <w:numId w:val="1"/>
        </w:numPr>
        <w:spacing w:line="360" w:lineRule="auto"/>
        <w:ind w:left="369"/>
        <w:jc w:val="both"/>
        <w:rPr>
          <w:rFonts w:ascii="David" w:hAnsi="David"/>
        </w:rPr>
      </w:pPr>
      <w:r>
        <w:rPr>
          <w:rFonts w:ascii="David" w:hAnsi="David"/>
          <w:rtl/>
        </w:rPr>
        <w:t>המשיבה (להלן: "</w:t>
      </w:r>
      <w:r>
        <w:rPr>
          <w:rFonts w:ascii="David" w:hAnsi="David"/>
          <w:b/>
          <w:bCs/>
          <w:rtl/>
        </w:rPr>
        <w:t>המשיבה</w:t>
      </w:r>
      <w:r>
        <w:rPr>
          <w:rFonts w:ascii="David" w:hAnsi="David"/>
          <w:rtl/>
        </w:rPr>
        <w:t>" או "</w:t>
      </w:r>
      <w:r>
        <w:rPr>
          <w:rFonts w:ascii="David" w:hAnsi="David"/>
          <w:b/>
          <w:bCs/>
          <w:rtl/>
        </w:rPr>
        <w:t>חלמיש</w:t>
      </w:r>
      <w:r>
        <w:rPr>
          <w:rFonts w:ascii="David" w:hAnsi="David"/>
          <w:rtl/>
        </w:rPr>
        <w:t xml:space="preserve">") היא חברה לדיור ציבורי הפועלת בין היתר לאכלוס דירות בדיור הציבורי לזכאי משרד הבינוי והשיכון. ביום 19.7.94 השכירה חלמיש לגב' חתון אליהו ז"ל (להלן: </w:t>
      </w:r>
      <w:r>
        <w:rPr>
          <w:rFonts w:ascii="David" w:hAnsi="David"/>
          <w:b/>
          <w:bCs/>
          <w:rtl/>
        </w:rPr>
        <w:t>"המנוחה</w:t>
      </w:r>
      <w:r>
        <w:rPr>
          <w:rFonts w:ascii="David" w:hAnsi="David"/>
          <w:rtl/>
        </w:rPr>
        <w:t>") את הדירה מושא ההליך. ביום 28.11.20 הלכה המנוחה לבית עולמה. המערער 1 הוא בנה של המנוחה והמערערת 2 היא בתו, נכדתה של המנוחה.</w:t>
      </w:r>
    </w:p>
    <w:p w:rsidR="0058531B" w:rsidRDefault="0058531B" w:rsidP="00150E7E">
      <w:pPr>
        <w:spacing w:line="360" w:lineRule="auto"/>
        <w:jc w:val="both"/>
        <w:rPr>
          <w:rFonts w:ascii="David" w:hAnsi="David"/>
        </w:rPr>
      </w:pPr>
    </w:p>
    <w:p w:rsidR="0058531B" w:rsidRDefault="0058531B" w:rsidP="00150E7E">
      <w:pPr>
        <w:pStyle w:val="ad"/>
        <w:spacing w:line="360" w:lineRule="auto"/>
        <w:ind w:left="369"/>
        <w:jc w:val="both"/>
        <w:rPr>
          <w:rFonts w:ascii="David" w:hAnsi="David"/>
          <w:rtl/>
        </w:rPr>
      </w:pPr>
      <w:r>
        <w:rPr>
          <w:rFonts w:ascii="David" w:hAnsi="David"/>
          <w:rtl/>
        </w:rPr>
        <w:t>המשיבה הגישה תביעה כנגד המערערים במסגרתה עתרה לפינויים מהדירה, מאחר שלטענתה, הם אינם עומדים בתנאים הקבועים בדין המזכים אותם להמשיך לגור בה (להלן: "</w:t>
      </w:r>
      <w:r>
        <w:rPr>
          <w:rFonts w:ascii="David" w:hAnsi="David"/>
          <w:b/>
          <w:bCs/>
          <w:rtl/>
        </w:rPr>
        <w:t>התביעה</w:t>
      </w:r>
      <w:r>
        <w:rPr>
          <w:rFonts w:ascii="David" w:hAnsi="David"/>
          <w:rtl/>
        </w:rPr>
        <w:t xml:space="preserve">"). </w:t>
      </w:r>
    </w:p>
    <w:p w:rsidR="0058531B" w:rsidRDefault="0058531B" w:rsidP="00150E7E">
      <w:pPr>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Calibri" w:eastAsia="Calibri" w:hAnsi="Calibri"/>
          <w:noProof w:val="0"/>
          <w:rtl/>
        </w:rPr>
      </w:pPr>
      <w:r>
        <w:rPr>
          <w:rFonts w:ascii="David" w:hAnsi="David"/>
          <w:rtl/>
        </w:rPr>
        <w:t xml:space="preserve">בית משפט קמא קבל את התביעה. </w:t>
      </w:r>
    </w:p>
    <w:p w:rsidR="0058531B" w:rsidRDefault="0058531B" w:rsidP="0058531B">
      <w:pPr>
        <w:pStyle w:val="ad"/>
        <w:spacing w:before="120" w:after="120" w:line="360" w:lineRule="auto"/>
        <w:ind w:left="360"/>
        <w:jc w:val="both"/>
        <w:rPr>
          <w:rFonts w:ascii="Calibri" w:eastAsia="Calibri" w:hAnsi="Calibri"/>
          <w:noProof w:val="0"/>
        </w:rPr>
      </w:pPr>
    </w:p>
    <w:p w:rsidR="0058531B" w:rsidRDefault="0058531B" w:rsidP="00150E7E">
      <w:pPr>
        <w:pStyle w:val="ad"/>
        <w:numPr>
          <w:ilvl w:val="0"/>
          <w:numId w:val="2"/>
        </w:numPr>
        <w:spacing w:before="120" w:after="120" w:line="360" w:lineRule="auto"/>
        <w:ind w:left="794"/>
        <w:jc w:val="both"/>
        <w:rPr>
          <w:rFonts w:ascii="Calibri" w:eastAsia="Calibri" w:hAnsi="Calibri"/>
          <w:noProof w:val="0"/>
          <w:rtl/>
        </w:rPr>
      </w:pPr>
      <w:r>
        <w:rPr>
          <w:rFonts w:ascii="Calibri" w:eastAsia="Calibri" w:hAnsi="Calibri"/>
          <w:noProof w:val="0"/>
          <w:rtl/>
        </w:rPr>
        <w:t xml:space="preserve">ראשית נקבע כי המערער קיבל את יומו בבית המשפט, עת עתר נגד החלטת הועדה העליונה במשרד הבינוי והשיכון אשר דחתה את בקשתו להכרה בזכויותיו הנטענות בדירה, בתקיפה ישירה, בבית המשפט לעניינים מנהליים. בנסיבות אלה נקבע, כי בהיעדר קביעה </w:t>
      </w:r>
      <w:r>
        <w:rPr>
          <w:rFonts w:ascii="Calibri" w:eastAsia="Calibri" w:hAnsi="Calibri"/>
          <w:noProof w:val="0"/>
          <w:rtl/>
        </w:rPr>
        <w:lastRenderedPageBreak/>
        <w:t xml:space="preserve">אחרת של בית המשפט המוסמך, קביעת הוועדה העליונה בעניינם של המערערים בעינה עומדת. </w:t>
      </w:r>
    </w:p>
    <w:p w:rsidR="0058531B" w:rsidRDefault="0058531B" w:rsidP="00150E7E">
      <w:pPr>
        <w:spacing w:line="360" w:lineRule="auto"/>
        <w:jc w:val="both"/>
        <w:rPr>
          <w:rFonts w:ascii="David" w:hAnsi="David"/>
          <w:rtl/>
        </w:rPr>
      </w:pPr>
    </w:p>
    <w:p w:rsidR="0058531B" w:rsidRDefault="0058531B" w:rsidP="00150E7E">
      <w:pPr>
        <w:pStyle w:val="ad"/>
        <w:numPr>
          <w:ilvl w:val="0"/>
          <w:numId w:val="2"/>
        </w:numPr>
        <w:spacing w:before="120" w:after="120" w:line="360" w:lineRule="auto"/>
        <w:ind w:left="794"/>
        <w:jc w:val="both"/>
        <w:rPr>
          <w:rFonts w:ascii="David" w:hAnsi="David"/>
          <w:rtl/>
        </w:rPr>
      </w:pPr>
      <w:r w:rsidRPr="00150E7E">
        <w:rPr>
          <w:rFonts w:ascii="Calibri" w:eastAsia="Calibri" w:hAnsi="Calibri"/>
          <w:noProof w:val="0"/>
          <w:rtl/>
        </w:rPr>
        <w:t>חרף</w:t>
      </w:r>
      <w:r>
        <w:rPr>
          <w:rFonts w:ascii="David" w:hAnsi="David"/>
          <w:rtl/>
        </w:rPr>
        <w:t xml:space="preserve"> האמור, בית משפט קמא הוסיף וערך דיון מקיף לגופו של עניין.</w:t>
      </w:r>
    </w:p>
    <w:p w:rsidR="0058531B" w:rsidRPr="0058531B" w:rsidRDefault="0058531B" w:rsidP="00150E7E">
      <w:pPr>
        <w:spacing w:before="120" w:after="120" w:line="360" w:lineRule="auto"/>
        <w:ind w:left="794"/>
        <w:jc w:val="both"/>
        <w:rPr>
          <w:rFonts w:ascii="David" w:hAnsi="David"/>
          <w:rtl/>
        </w:rPr>
      </w:pPr>
      <w:r w:rsidRPr="0058531B">
        <w:rPr>
          <w:rFonts w:ascii="David" w:hAnsi="David"/>
          <w:rtl/>
        </w:rPr>
        <w:t>וזו התשתית הנורמטיבית כפי שהותוותה בבית משפט קמא:</w:t>
      </w: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eastAsia="Calibri"/>
          <w:b/>
          <w:bCs/>
          <w:u w:val="single"/>
          <w:rtl/>
        </w:rPr>
        <w:t xml:space="preserve">" </w:t>
      </w:r>
      <w:hyperlink r:id="rId8" w:history="1">
        <w:r w:rsidRPr="0058531B">
          <w:rPr>
            <w:rStyle w:val="Hyperlink"/>
            <w:rFonts w:eastAsia="Calibri"/>
            <w:b/>
            <w:bCs/>
            <w:color w:val="auto"/>
            <w:rtl/>
          </w:rPr>
          <w:t>סעיף 3</w:t>
        </w:r>
      </w:hyperlink>
      <w:r w:rsidRPr="0058531B">
        <w:rPr>
          <w:rFonts w:ascii="Calibri" w:eastAsia="Calibri" w:hAnsi="Calibri"/>
          <w:b/>
          <w:bCs/>
          <w:noProof w:val="0"/>
          <w:rtl/>
        </w:rPr>
        <w:t xml:space="preserve"> ל</w:t>
      </w:r>
      <w:hyperlink r:id="rId9" w:history="1">
        <w:r w:rsidRPr="0058531B">
          <w:rPr>
            <w:rStyle w:val="Hyperlink"/>
            <w:rFonts w:ascii="Calibri" w:eastAsia="Calibri" w:hAnsi="Calibri"/>
            <w:b/>
            <w:bCs/>
            <w:noProof w:val="0"/>
            <w:color w:val="auto"/>
            <w:rtl/>
          </w:rPr>
          <w:t>חוק זכויות הדייר בדיור הציבורי</w:t>
        </w:r>
      </w:hyperlink>
      <w:r w:rsidRPr="0058531B">
        <w:rPr>
          <w:rFonts w:ascii="Calibri" w:eastAsia="Calibri" w:hAnsi="Calibri"/>
          <w:b/>
          <w:bCs/>
          <w:noProof w:val="0"/>
          <w:rtl/>
        </w:rPr>
        <w:t>, התשנ"ח-1998 (להלן – חוק הדיור הציבורי), בנוסחו הנוכחי, לאחר תיקון מס' 3 משנת 2009, קובע כדלקמן:</w:t>
      </w:r>
    </w:p>
    <w:p w:rsidR="0058531B" w:rsidRPr="0058531B" w:rsidRDefault="0058531B" w:rsidP="0058531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Pr>
      </w:pPr>
      <w:r w:rsidRPr="0058531B">
        <w:rPr>
          <w:rFonts w:ascii="Calibri" w:eastAsia="Calibri" w:hAnsi="Calibri"/>
          <w:b/>
          <w:bCs/>
          <w:noProof w:val="0"/>
          <w:rtl/>
        </w:rPr>
        <w:tab/>
        <w:t>"(א)</w:t>
      </w:r>
      <w:r w:rsidRPr="0058531B">
        <w:rPr>
          <w:rFonts w:ascii="Calibri" w:eastAsia="Calibri" w:hAnsi="Calibri"/>
          <w:b/>
          <w:bCs/>
          <w:noProof w:val="0"/>
          <w:rtl/>
        </w:rPr>
        <w:tab/>
        <w:t xml:space="preserve">נפטר זכאי או עבר להתגורר במוסד סיעודי, לא יהיה הדייר הממשיך רשאי להמשיך ולהתגורר בדירה הציבורית עם קרוביו, והוא יפנה את הדירה הציבורית בתוך תשעה חודשים מהמועד שבו נמסרה לו הודעה מאת משרד הבינוי והשיכון, בדבר אי-זכאותו לדירה ציבורית לפי הכללים. </w:t>
      </w:r>
    </w:p>
    <w:p w:rsidR="0058531B" w:rsidRPr="0058531B" w:rsidRDefault="0058531B" w:rsidP="0058531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tl/>
        </w:rPr>
      </w:pPr>
      <w:r w:rsidRPr="0058531B">
        <w:rPr>
          <w:rFonts w:ascii="Calibri" w:eastAsia="Calibri" w:hAnsi="Calibri"/>
          <w:b/>
          <w:bCs/>
          <w:noProof w:val="0"/>
          <w:rtl/>
        </w:rPr>
        <w:tab/>
        <w:t>(ב)</w:t>
      </w:r>
      <w:r w:rsidRPr="0058531B">
        <w:rPr>
          <w:rFonts w:ascii="Calibri" w:eastAsia="Calibri" w:hAnsi="Calibri"/>
          <w:b/>
          <w:bCs/>
          <w:noProof w:val="0"/>
          <w:rtl/>
        </w:rPr>
        <w:tab/>
        <w:t>הוראות סעיף קטן (א) לא יחולו על דייר ממשיך שמוקנית לו זכות לדירה ציבורית לפי הכללים, ויראו אותו כמי שבא בנעלי הזכאי לכל דבר ועניין; ואולם היתה לדייר ממשיך כאמור זכות לדירה ציבורית בשטח אחר מהדירה הציבורית שבה התגורר הזכאי – יפנה את הדירה הציבורית שבה התגורר, לדירה הציבורית שהוקצתה לו לפי הכללים."</w:t>
      </w: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ascii="Calibri" w:eastAsia="Calibri" w:hAnsi="Calibri"/>
          <w:b/>
          <w:bCs/>
          <w:noProof w:val="0"/>
          <w:rtl/>
        </w:rPr>
        <w:t xml:space="preserve">ילדו של זכאי שנפטר, וכך גם נכדו, מוגדרים </w:t>
      </w:r>
      <w:hyperlink r:id="rId10" w:history="1">
        <w:r w:rsidRPr="0058531B">
          <w:rPr>
            <w:rStyle w:val="Hyperlink"/>
            <w:rFonts w:eastAsia="Calibri"/>
            <w:b/>
            <w:bCs/>
            <w:color w:val="auto"/>
            <w:rtl/>
          </w:rPr>
          <w:t>בסעיף 1</w:t>
        </w:r>
      </w:hyperlink>
      <w:r w:rsidRPr="0058531B">
        <w:rPr>
          <w:rFonts w:ascii="Calibri" w:eastAsia="Calibri" w:hAnsi="Calibri"/>
          <w:b/>
          <w:bCs/>
          <w:noProof w:val="0"/>
          <w:rtl/>
        </w:rPr>
        <w:t xml:space="preserve"> לחוק כ"דייר ממשיך" "ובלבד שהוא התגורר עם הזכאי בדירה הציבורית תקופה של שלוש שנים לפחות בסמוך למועד פטירת הזכאי". </w:t>
      </w: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ascii="Calibri" w:eastAsia="Calibri" w:hAnsi="Calibri"/>
          <w:b/>
          <w:bCs/>
          <w:noProof w:val="0"/>
          <w:rtl/>
        </w:rPr>
        <w:t xml:space="preserve">מכאן, שבהתאם להוראות </w:t>
      </w:r>
      <w:hyperlink r:id="rId11" w:history="1">
        <w:r w:rsidRPr="0058531B">
          <w:rPr>
            <w:rStyle w:val="Hyperlink"/>
            <w:rFonts w:ascii="Calibri" w:eastAsia="Calibri" w:hAnsi="Calibri"/>
            <w:b/>
            <w:bCs/>
            <w:noProof w:val="0"/>
            <w:color w:val="auto"/>
            <w:rtl/>
          </w:rPr>
          <w:t>סעיף 3(ב)</w:t>
        </w:r>
      </w:hyperlink>
      <w:r w:rsidRPr="0058531B">
        <w:rPr>
          <w:rFonts w:ascii="Calibri" w:eastAsia="Calibri" w:hAnsi="Calibri"/>
          <w:b/>
          <w:bCs/>
          <w:noProof w:val="0"/>
          <w:rtl/>
        </w:rPr>
        <w:t xml:space="preserve"> לחוק הדיור הציבורי, על-מנת שמי מהנתבעים יהיה רשאי להוסיף ולהתגורר בדירה, עליו לעמוד בשני תנאים מצטברים: האחד – מגורים משותפים עם המנוחה בדירה הציבורית תקופה של שלוש שנים לפחות בסמוך למועד פטירתה; השני – הכרה כזכאי לדיור ציבורי לפי הכללים. אין מחלוקת כי התנאי השני אינו מתקיים בעניינם של הנתבעים. הם לא הוכרו כזכאים לדיור ציבורי והם אף אינם חולקים על כך. מכל מקום, הכרה כאמור אינה באה בגדרו של ההליך המשפטי הנוכחי. </w:t>
      </w:r>
    </w:p>
    <w:p w:rsidR="00150E7E" w:rsidRDefault="00150E7E" w:rsidP="0058531B">
      <w:pPr>
        <w:spacing w:before="120" w:after="120" w:line="360" w:lineRule="auto"/>
        <w:ind w:left="935"/>
        <w:jc w:val="both"/>
        <w:rPr>
          <w:rFonts w:ascii="Calibri" w:eastAsia="Calibri" w:hAnsi="Calibri"/>
          <w:b/>
          <w:bCs/>
          <w:noProof w:val="0"/>
          <w:rtl/>
        </w:rPr>
      </w:pPr>
    </w:p>
    <w:p w:rsidR="00150E7E" w:rsidRDefault="00150E7E" w:rsidP="0058531B">
      <w:pPr>
        <w:spacing w:before="120" w:after="120" w:line="360" w:lineRule="auto"/>
        <w:ind w:left="935"/>
        <w:jc w:val="both"/>
        <w:rPr>
          <w:rFonts w:ascii="Calibri" w:eastAsia="Calibri" w:hAnsi="Calibri"/>
          <w:b/>
          <w:bCs/>
          <w:noProof w:val="0"/>
          <w:rtl/>
        </w:rPr>
      </w:pP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ascii="Calibri" w:eastAsia="Calibri" w:hAnsi="Calibri"/>
          <w:b/>
          <w:bCs/>
          <w:noProof w:val="0"/>
          <w:rtl/>
        </w:rPr>
        <w:lastRenderedPageBreak/>
        <w:t>עם זאת, בתיקון לחוק משנת 2009, תיקון שנעשה ב</w:t>
      </w:r>
      <w:hyperlink r:id="rId12" w:history="1">
        <w:r w:rsidRPr="0058531B">
          <w:rPr>
            <w:rStyle w:val="Hyperlink"/>
            <w:rFonts w:ascii="Calibri" w:eastAsia="Calibri" w:hAnsi="Calibri"/>
            <w:b/>
            <w:bCs/>
            <w:noProof w:val="0"/>
            <w:color w:val="auto"/>
            <w:rtl/>
          </w:rPr>
          <w:t>חוק ההתייעלות הכלכלית (תיקוני חקיקה ליישום התכנית הכלכלית לשנים 2009 ו-2010)</w:t>
        </w:r>
      </w:hyperlink>
      <w:r w:rsidRPr="0058531B">
        <w:rPr>
          <w:rFonts w:ascii="Calibri" w:eastAsia="Calibri" w:hAnsi="Calibri"/>
          <w:b/>
          <w:bCs/>
          <w:noProof w:val="0"/>
          <w:rtl/>
        </w:rPr>
        <w:t xml:space="preserve">, התשס"ט-2009, נקבעו </w:t>
      </w:r>
      <w:hyperlink r:id="rId13" w:history="1">
        <w:r w:rsidRPr="0058531B">
          <w:rPr>
            <w:rStyle w:val="Hyperlink"/>
            <w:rFonts w:eastAsia="Calibri"/>
            <w:b/>
            <w:bCs/>
            <w:color w:val="auto"/>
            <w:rtl/>
          </w:rPr>
          <w:t>בסעיף 70</w:t>
        </w:r>
      </w:hyperlink>
      <w:r w:rsidRPr="0058531B">
        <w:rPr>
          <w:rFonts w:ascii="Calibri" w:eastAsia="Calibri" w:hAnsi="Calibri"/>
          <w:b/>
          <w:bCs/>
          <w:noProof w:val="0"/>
          <w:rtl/>
        </w:rPr>
        <w:t xml:space="preserve"> לחוק האמור סייג לתחולה והוראות מעבר, כדלקמן:</w:t>
      </w:r>
    </w:p>
    <w:p w:rsidR="0058531B" w:rsidRPr="0058531B" w:rsidRDefault="0058531B" w:rsidP="0058531B">
      <w:pPr>
        <w:pStyle w:val="ad"/>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tl/>
        </w:rPr>
      </w:pPr>
      <w:r w:rsidRPr="0058531B">
        <w:rPr>
          <w:rFonts w:ascii="Calibri" w:eastAsia="Calibri" w:hAnsi="Calibri"/>
          <w:b/>
          <w:bCs/>
          <w:noProof w:val="0"/>
          <w:rtl/>
        </w:rPr>
        <w:t>"(א) הוראות סעיף 3 ל</w:t>
      </w:r>
      <w:hyperlink r:id="rId14" w:history="1">
        <w:r w:rsidRPr="0058531B">
          <w:rPr>
            <w:rStyle w:val="Hyperlink"/>
            <w:rFonts w:ascii="Calibri" w:eastAsia="Calibri" w:hAnsi="Calibri"/>
            <w:b/>
            <w:bCs/>
            <w:noProof w:val="0"/>
            <w:color w:val="auto"/>
            <w:rtl/>
          </w:rPr>
          <w:t>חוק זכויות הדייר בדיור הציבורי</w:t>
        </w:r>
      </w:hyperlink>
      <w:r w:rsidRPr="0058531B">
        <w:rPr>
          <w:rFonts w:ascii="Calibri" w:eastAsia="Calibri" w:hAnsi="Calibri"/>
          <w:b/>
          <w:bCs/>
          <w:noProof w:val="0"/>
          <w:rtl/>
        </w:rPr>
        <w:t xml:space="preserve">, בנוסחו ערב תחילתו של חוק זה, ימשיכו לחול על מי שביום י"א באב התשס"ט (1 באוגוסט 2009), התגורר עם זכאי בדירה ציבורית אם התגורר כאמור במשך ארבע שנים לפחות, בין אם קודם למועד האמור ובין אם לאחריו, וברציפות, עד למועד שבו נפטר הזכאי או עבר למוסד סיעודי, ובלבד שהיה אחד המנויים בהגדרה "דייר ממשיך", במהלך התקופה האמורה. </w:t>
      </w:r>
    </w:p>
    <w:p w:rsidR="0058531B" w:rsidRPr="0058531B" w:rsidRDefault="0058531B" w:rsidP="0058531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tl/>
        </w:rPr>
      </w:pPr>
      <w:r w:rsidRPr="0058531B">
        <w:rPr>
          <w:rFonts w:ascii="Calibri" w:eastAsia="Calibri" w:hAnsi="Calibri"/>
          <w:b/>
          <w:bCs/>
          <w:noProof w:val="0"/>
          <w:rtl/>
        </w:rPr>
        <w:tab/>
        <w:t>(ב) הוראות סעיף 3(א) ל</w:t>
      </w:r>
      <w:hyperlink r:id="rId15" w:history="1">
        <w:r w:rsidRPr="0058531B">
          <w:rPr>
            <w:rStyle w:val="Hyperlink"/>
            <w:rFonts w:ascii="Calibri" w:eastAsia="Calibri" w:hAnsi="Calibri"/>
            <w:b/>
            <w:bCs/>
            <w:noProof w:val="0"/>
            <w:color w:val="auto"/>
            <w:rtl/>
          </w:rPr>
          <w:t>חוק זכויות הדייר בדיור הציבורי</w:t>
        </w:r>
      </w:hyperlink>
      <w:r w:rsidRPr="0058531B">
        <w:rPr>
          <w:rFonts w:ascii="Calibri" w:eastAsia="Calibri" w:hAnsi="Calibri"/>
          <w:b/>
          <w:bCs/>
          <w:noProof w:val="0"/>
          <w:rtl/>
        </w:rPr>
        <w:t>, כנוסחו בסעיף 69(2) לחוק זה, יחולו גם על מי שביום י"א באב התשס"ט (1 באוגוסט 2009) היה דייר ממשיך ולא מוקנית לו זכות לדירה ציבורית לפי הכללים, אלא אם כן עד המועד האמור התגורר ברציפות בדירה הציבורית, עם הזכאי או כדייר ממשיך, במשך ארבע שנים לפחות."</w:t>
      </w:r>
    </w:p>
    <w:p w:rsidR="0058531B" w:rsidRDefault="0058531B" w:rsidP="0058531B">
      <w:pPr>
        <w:spacing w:before="120" w:after="120" w:line="360" w:lineRule="auto"/>
        <w:ind w:left="935"/>
        <w:jc w:val="both"/>
        <w:rPr>
          <w:rFonts w:ascii="David" w:eastAsia="Calibri" w:hAnsi="David"/>
          <w:b/>
          <w:bCs/>
          <w:noProof w:val="0"/>
          <w:rtl/>
        </w:rPr>
      </w:pPr>
      <w:r w:rsidRPr="0058531B">
        <w:rPr>
          <w:rFonts w:ascii="Calibri" w:eastAsia="Calibri" w:hAnsi="Calibri"/>
          <w:b/>
          <w:bCs/>
          <w:noProof w:val="0"/>
          <w:rtl/>
        </w:rPr>
        <w:t xml:space="preserve">התיקון הוטמע בחוק הדיור הציבורי, כך שבהתאם </w:t>
      </w:r>
      <w:hyperlink r:id="rId16" w:history="1">
        <w:r w:rsidRPr="0058531B">
          <w:rPr>
            <w:rStyle w:val="Hyperlink"/>
            <w:rFonts w:eastAsia="Calibri"/>
            <w:b/>
            <w:bCs/>
            <w:color w:val="auto"/>
            <w:rtl/>
          </w:rPr>
          <w:t>לסעיף 3(ב)</w:t>
        </w:r>
      </w:hyperlink>
      <w:r w:rsidRPr="0058531B">
        <w:rPr>
          <w:rFonts w:ascii="Calibri" w:eastAsia="Calibri" w:hAnsi="Calibri"/>
          <w:b/>
          <w:bCs/>
          <w:noProof w:val="0"/>
          <w:rtl/>
        </w:rPr>
        <w:t xml:space="preserve"> לחוק הדיור הציבורי, "הוראות סעיף קטן </w:t>
      </w:r>
      <w:hyperlink r:id="rId17" w:history="1">
        <w:r w:rsidRPr="0058531B">
          <w:rPr>
            <w:rStyle w:val="Hyperlink"/>
            <w:rFonts w:ascii="Calibri" w:eastAsia="Calibri" w:hAnsi="Calibri"/>
            <w:b/>
            <w:bCs/>
            <w:noProof w:val="0"/>
            <w:color w:val="auto"/>
            <w:rtl/>
          </w:rPr>
          <w:t>(א)</w:t>
        </w:r>
      </w:hyperlink>
      <w:r w:rsidRPr="0058531B">
        <w:rPr>
          <w:rFonts w:ascii="Calibri" w:eastAsia="Calibri" w:hAnsi="Calibri"/>
          <w:b/>
          <w:bCs/>
          <w:noProof w:val="0"/>
          <w:rtl/>
        </w:rPr>
        <w:t xml:space="preserve"> לא יחולו על דייר ממשיך שמוקנית לו זכות לדירה ציבורית לפי הכללים". "הכללים", כהגדרתם </w:t>
      </w:r>
      <w:hyperlink r:id="rId18" w:history="1">
        <w:r w:rsidRPr="0058531B">
          <w:rPr>
            <w:rStyle w:val="Hyperlink"/>
            <w:rFonts w:eastAsia="Calibri"/>
            <w:b/>
            <w:bCs/>
            <w:color w:val="auto"/>
            <w:rtl/>
          </w:rPr>
          <w:t>בסעיף 1</w:t>
        </w:r>
      </w:hyperlink>
      <w:r w:rsidRPr="0058531B">
        <w:rPr>
          <w:rFonts w:ascii="Calibri" w:eastAsia="Calibri" w:hAnsi="Calibri"/>
          <w:b/>
          <w:bCs/>
          <w:noProof w:val="0"/>
          <w:rtl/>
        </w:rPr>
        <w:t xml:space="preserve"> לחוק, הם כללי משרד הבינוי והשיכון לעניין זכאות לדיור ציבור</w:t>
      </w:r>
      <w:r>
        <w:rPr>
          <w:rFonts w:ascii="Calibri" w:eastAsia="Calibri" w:hAnsi="Calibri"/>
          <w:b/>
          <w:bCs/>
          <w:noProof w:val="0"/>
          <w:rtl/>
        </w:rPr>
        <w:t>י".</w:t>
      </w:r>
    </w:p>
    <w:p w:rsidR="0058531B" w:rsidRDefault="0058531B" w:rsidP="00150E7E">
      <w:pPr>
        <w:pStyle w:val="ad"/>
        <w:numPr>
          <w:ilvl w:val="0"/>
          <w:numId w:val="2"/>
        </w:numPr>
        <w:spacing w:before="120" w:after="120" w:line="360" w:lineRule="auto"/>
        <w:ind w:left="794"/>
        <w:jc w:val="both"/>
        <w:rPr>
          <w:rFonts w:ascii="Calibri" w:eastAsia="Calibri" w:hAnsi="Calibri"/>
          <w:noProof w:val="0"/>
          <w:rtl/>
        </w:rPr>
      </w:pPr>
      <w:r>
        <w:rPr>
          <w:rFonts w:ascii="Calibri" w:eastAsia="Calibri" w:hAnsi="Calibri"/>
          <w:noProof w:val="0"/>
          <w:rtl/>
        </w:rPr>
        <w:t>בהינתן התשתית הנורמטיבית האמורה, זו השאלה שהציב בית משפט קמא כטעונה הכרעה:</w:t>
      </w:r>
    </w:p>
    <w:p w:rsidR="0058531B" w:rsidRPr="00150E7E" w:rsidRDefault="0058531B" w:rsidP="00150E7E">
      <w:pPr>
        <w:spacing w:before="120" w:after="120" w:line="360" w:lineRule="auto"/>
        <w:ind w:left="935"/>
        <w:jc w:val="both"/>
        <w:rPr>
          <w:rFonts w:ascii="Calibri" w:eastAsia="Calibri" w:hAnsi="Calibri"/>
          <w:b/>
          <w:bCs/>
          <w:noProof w:val="0"/>
          <w:rtl/>
        </w:rPr>
      </w:pPr>
      <w:r>
        <w:rPr>
          <w:rFonts w:ascii="Calibri" w:eastAsia="Calibri" w:hAnsi="Calibri"/>
          <w:b/>
          <w:bCs/>
          <w:noProof w:val="0"/>
          <w:rtl/>
        </w:rPr>
        <w:t xml:space="preserve">"לאור האמור, אם יימצא כי הנתבעים התגוררו עם המנוחה ביום 1.8.2009 (להלן – המועד הקובע) ובמשך ארבע שנים ברציפות, לכל הפחות – הם יהיו זכאים להוסיף ולהתגורר בדירה, אף אם הם עצמם לא הוכרו, באופן עצמאי, כמי שזכאים להימנות על זכאי הדיור הציבורי". </w:t>
      </w:r>
    </w:p>
    <w:p w:rsidR="0058531B" w:rsidRDefault="0058531B" w:rsidP="00150E7E">
      <w:pPr>
        <w:pStyle w:val="ad"/>
        <w:numPr>
          <w:ilvl w:val="0"/>
          <w:numId w:val="2"/>
        </w:numPr>
        <w:spacing w:before="120" w:after="120" w:line="360" w:lineRule="auto"/>
        <w:ind w:left="794"/>
        <w:jc w:val="both"/>
        <w:rPr>
          <w:rFonts w:ascii="David" w:hAnsi="David"/>
          <w:rtl/>
        </w:rPr>
      </w:pPr>
      <w:r>
        <w:rPr>
          <w:rFonts w:ascii="David" w:hAnsi="David"/>
          <w:rtl/>
        </w:rPr>
        <w:t>לאחר סקירה יסודית של התשתית הראייתית, קבע בית משפט קמא כי המערערים לא עמדו בתנאים הנדרשים על פי חוק על מנת להוסיף ולהתגורר בדירה: הם לא התגוררו בדירה עם המנוחה במועד הקובע ולא הוכיחו באופן מספק כי התגוררו עימה ברציפות במשך ארבע שנים קודם לפטירתה. על כן, הם אינם זכאים בפני עצמם לדיור ציבורי.</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2"/>
        </w:numPr>
        <w:spacing w:before="120" w:after="120" w:line="360" w:lineRule="auto"/>
        <w:ind w:left="794"/>
        <w:jc w:val="both"/>
        <w:rPr>
          <w:rFonts w:ascii="David" w:hAnsi="David"/>
          <w:rtl/>
        </w:rPr>
      </w:pPr>
      <w:r>
        <w:rPr>
          <w:rFonts w:ascii="David" w:hAnsi="David"/>
          <w:rtl/>
        </w:rPr>
        <w:t>משכך, התקבלה התביעה ובית משפט קמא הורה על פינוי הדירה עד ליום 8.5.2024.</w:t>
      </w:r>
    </w:p>
    <w:p w:rsidR="0058531B" w:rsidRDefault="0058531B" w:rsidP="0058531B">
      <w:pPr>
        <w:pStyle w:val="ad"/>
        <w:spacing w:line="360" w:lineRule="auto"/>
        <w:jc w:val="both"/>
        <w:rPr>
          <w:rFonts w:ascii="David" w:hAnsi="David"/>
        </w:rPr>
      </w:pPr>
    </w:p>
    <w:p w:rsidR="0058531B" w:rsidRDefault="0058531B" w:rsidP="00150E7E">
      <w:pPr>
        <w:pStyle w:val="ad"/>
        <w:numPr>
          <w:ilvl w:val="0"/>
          <w:numId w:val="1"/>
        </w:numPr>
        <w:spacing w:line="360" w:lineRule="auto"/>
        <w:ind w:left="369"/>
        <w:jc w:val="both"/>
        <w:rPr>
          <w:rFonts w:ascii="David" w:hAnsi="David"/>
        </w:rPr>
      </w:pPr>
      <w:r>
        <w:rPr>
          <w:rFonts w:ascii="David" w:hAnsi="David"/>
          <w:rtl/>
        </w:rPr>
        <w:lastRenderedPageBreak/>
        <w:t>המערערים הגישו ערעור ובצידו עתרו בבקשה לעיכוב ביצוע עד הכרעה בערעור. הבקשה נעתרה בהחלטה מיום 6.5.2024.</w:t>
      </w:r>
    </w:p>
    <w:p w:rsidR="0058531B" w:rsidRDefault="0058531B" w:rsidP="0058531B">
      <w:pPr>
        <w:spacing w:line="360" w:lineRule="auto"/>
        <w:jc w:val="both"/>
        <w:rPr>
          <w:rFonts w:ascii="David" w:hAnsi="David"/>
          <w:b/>
          <w:bCs/>
          <w:u w:val="single"/>
          <w:rtl/>
        </w:rPr>
      </w:pPr>
    </w:p>
    <w:p w:rsidR="0058531B" w:rsidRDefault="0058531B" w:rsidP="00150E7E">
      <w:pPr>
        <w:pStyle w:val="ad"/>
        <w:numPr>
          <w:ilvl w:val="0"/>
          <w:numId w:val="1"/>
        </w:numPr>
        <w:spacing w:line="360" w:lineRule="auto"/>
        <w:ind w:left="369"/>
        <w:jc w:val="both"/>
        <w:rPr>
          <w:rFonts w:ascii="David" w:hAnsi="David"/>
        </w:rPr>
      </w:pPr>
      <w:r>
        <w:rPr>
          <w:rFonts w:ascii="David" w:hAnsi="David"/>
          <w:rtl/>
        </w:rPr>
        <w:t>הטענות בהודעת הערעור לא מתייחסות לקביעות ולמסקנות בפסק הדין, אלא מתמקדות בשתיים בלבד :</w:t>
      </w:r>
    </w:p>
    <w:p w:rsidR="0058531B" w:rsidRPr="00150E7E" w:rsidRDefault="0058531B" w:rsidP="00150E7E">
      <w:pPr>
        <w:spacing w:line="360" w:lineRule="auto"/>
        <w:ind w:left="369"/>
        <w:jc w:val="both"/>
        <w:rPr>
          <w:rFonts w:ascii="David" w:hAnsi="David"/>
        </w:rPr>
      </w:pPr>
      <w:r w:rsidRPr="00150E7E">
        <w:rPr>
          <w:rFonts w:ascii="David" w:hAnsi="David"/>
          <w:rtl/>
        </w:rPr>
        <w:t>האחת- טענה כי המשיבה הפרה את הוראות תקנה 2 לתקנות האגרות, בכך שלא שילמה אגרת תביעה כנדרש, ואף נקטה במצג שווא בטענה כי היא פטורה מתשלום אגרה, באופן המהווה הפרה של חובת תום הלב וההגינות הדיונית (להלן: "</w:t>
      </w:r>
      <w:r w:rsidRPr="00150E7E">
        <w:rPr>
          <w:rFonts w:ascii="David" w:hAnsi="David"/>
          <w:b/>
          <w:bCs/>
          <w:rtl/>
        </w:rPr>
        <w:t>טענת האגרה</w:t>
      </w:r>
      <w:r w:rsidRPr="00150E7E">
        <w:rPr>
          <w:rFonts w:ascii="David" w:hAnsi="David"/>
          <w:rtl/>
        </w:rPr>
        <w:t xml:space="preserve">"). </w:t>
      </w:r>
    </w:p>
    <w:p w:rsidR="0058531B" w:rsidRDefault="0058531B" w:rsidP="0058531B">
      <w:pPr>
        <w:pStyle w:val="ad"/>
        <w:spacing w:line="360" w:lineRule="auto"/>
        <w:jc w:val="both"/>
        <w:rPr>
          <w:rFonts w:ascii="David" w:hAnsi="David"/>
          <w:rtl/>
        </w:rPr>
      </w:pPr>
    </w:p>
    <w:p w:rsidR="0058531B" w:rsidRPr="00150E7E" w:rsidRDefault="0058531B" w:rsidP="00150E7E">
      <w:pPr>
        <w:spacing w:line="360" w:lineRule="auto"/>
        <w:ind w:left="369"/>
        <w:jc w:val="both"/>
        <w:rPr>
          <w:rFonts w:ascii="David" w:hAnsi="David"/>
          <w:rtl/>
        </w:rPr>
      </w:pPr>
      <w:r w:rsidRPr="00150E7E">
        <w:rPr>
          <w:rFonts w:ascii="David" w:hAnsi="David"/>
          <w:rtl/>
        </w:rPr>
        <w:t>השניה- טענה כי התביעה וניהול ההליך בוצעו על ידי עורך דין שאינו מורשה ומוסמך לייצג את המשיבה, תוך הפרה והטעייה מכוונת של בית המשפט, כאשר התנהלות זו מהווה פגיעה אנושה בטוהר ההליך השיפוטי ובאמון הציבור במערכת המשפט (להלן: "</w:t>
      </w:r>
      <w:r w:rsidRPr="00150E7E">
        <w:rPr>
          <w:rFonts w:ascii="David" w:hAnsi="David"/>
          <w:b/>
          <w:bCs/>
          <w:rtl/>
        </w:rPr>
        <w:t>טענת היעדר סמכות ב"כ המשיבה לניהול ההליך</w:t>
      </w:r>
      <w:r w:rsidRPr="00150E7E">
        <w:rPr>
          <w:rFonts w:ascii="David" w:hAnsi="David"/>
          <w:rtl/>
        </w:rPr>
        <w:t xml:space="preserve">"). </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לאחר עיון בהודעת הערעור ובתשובה ולאחר הדיון שהתקיים, הריני סבורה כי דין הערעור להידחות.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הגם שהמערערים בחרו לפתוח בטענת האגרה, אתייחס תחילה לטענת היעדר סמכות ב"כ המשיבה לניהול התביעה.</w:t>
      </w:r>
    </w:p>
    <w:p w:rsidR="0058531B" w:rsidRDefault="0058531B" w:rsidP="0058531B">
      <w:pPr>
        <w:pStyle w:val="ad"/>
        <w:rPr>
          <w:rFonts w:ascii="David" w:hAnsi="David"/>
        </w:rPr>
      </w:pPr>
    </w:p>
    <w:p w:rsidR="0058531B" w:rsidRPr="00150E7E" w:rsidRDefault="0058531B" w:rsidP="00150E7E">
      <w:pPr>
        <w:spacing w:line="360" w:lineRule="auto"/>
        <w:ind w:left="369"/>
        <w:jc w:val="both"/>
        <w:rPr>
          <w:rFonts w:ascii="David" w:hAnsi="David"/>
          <w:rtl/>
        </w:rPr>
      </w:pPr>
      <w:r w:rsidRPr="00150E7E">
        <w:rPr>
          <w:rFonts w:ascii="David" w:hAnsi="David"/>
          <w:rtl/>
        </w:rPr>
        <w:t>לעמדת ב"כ המערערים, חלמיש היא חברה מעורבת כהגדרתה בסעיף 1 לחוק החברות הממשלתיות התשל"ה-1975, וכפופה להוראותיו, לרבות לסעיף 47 הקובע כי מינוי יועץ משפטי חיצוני לחברה ממשלתית מחייב אישור מטעם רשות החברות הממשלתיות ובהתאם להמלצת ועדה מייעצת סטטוטורית שהוקמה לשם כך (להלן:"</w:t>
      </w:r>
      <w:r w:rsidRPr="00150E7E">
        <w:rPr>
          <w:rFonts w:ascii="David" w:hAnsi="David"/>
          <w:b/>
          <w:bCs/>
          <w:rtl/>
        </w:rPr>
        <w:t>סעיף 47</w:t>
      </w:r>
      <w:r w:rsidRPr="00150E7E">
        <w:rPr>
          <w:rFonts w:ascii="David" w:hAnsi="David"/>
          <w:rtl/>
        </w:rPr>
        <w:t xml:space="preserve">"). </w:t>
      </w:r>
    </w:p>
    <w:p w:rsidR="0058531B" w:rsidRDefault="0058531B" w:rsidP="0058531B">
      <w:pPr>
        <w:pStyle w:val="ad"/>
        <w:spacing w:line="360" w:lineRule="auto"/>
        <w:jc w:val="both"/>
        <w:rPr>
          <w:rFonts w:ascii="David" w:hAnsi="David"/>
          <w:rtl/>
        </w:rPr>
      </w:pPr>
    </w:p>
    <w:p w:rsidR="0058531B" w:rsidRPr="00150E7E" w:rsidRDefault="0058531B" w:rsidP="00150E7E">
      <w:pPr>
        <w:spacing w:line="360" w:lineRule="auto"/>
        <w:ind w:left="360" w:firstLine="9"/>
        <w:jc w:val="both"/>
        <w:rPr>
          <w:rFonts w:ascii="David" w:hAnsi="David"/>
          <w:rtl/>
        </w:rPr>
      </w:pPr>
      <w:r w:rsidRPr="00150E7E">
        <w:rPr>
          <w:rFonts w:ascii="David" w:hAnsi="David"/>
          <w:rtl/>
        </w:rPr>
        <w:t>בהודעת הערעור נטען כי עורך הדין שהגיש את התביעה מטעם המשיבה לא ק</w:t>
      </w:r>
      <w:r w:rsidR="00150E7E" w:rsidRPr="00150E7E">
        <w:rPr>
          <w:rFonts w:ascii="David" w:hAnsi="David" w:hint="cs"/>
          <w:rtl/>
        </w:rPr>
        <w:t>י</w:t>
      </w:r>
      <w:r w:rsidRPr="00150E7E">
        <w:rPr>
          <w:rFonts w:ascii="David" w:hAnsi="David"/>
          <w:rtl/>
        </w:rPr>
        <w:t>בל מינוי כיועץ משפטי חיצוני מאת רשות החברות הממשלתיות ולא עבר את תהליך הבחירה בפני הוועדה המייעצת. משכך, לפי הנטען, לב"כ המשיבה לא הייתה סמכות ייצוג חוקית להגשת התביעה בבית משפט קמא. ב"כ המערערים ציין כי העובדה בדבר חוסר הסמכות התגלתה למערערים רק לאחר פרסומה של העתירה לבג"ץ 5494/23 (להלן: "</w:t>
      </w:r>
      <w:r w:rsidRPr="00150E7E">
        <w:rPr>
          <w:rFonts w:ascii="David" w:hAnsi="David"/>
          <w:b/>
          <w:bCs/>
          <w:rtl/>
        </w:rPr>
        <w:t>בג"ץ 5494/23</w:t>
      </w:r>
      <w:r w:rsidRPr="00150E7E">
        <w:rPr>
          <w:rFonts w:ascii="David" w:hAnsi="David"/>
          <w:rtl/>
        </w:rPr>
        <w:t xml:space="preserve">" ). </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לא מצאתי כי יש ממש בטענות אלה.</w:t>
      </w:r>
    </w:p>
    <w:p w:rsidR="0058531B" w:rsidRDefault="0058531B" w:rsidP="0058531B">
      <w:pPr>
        <w:pStyle w:val="ad"/>
        <w:spacing w:line="360" w:lineRule="auto"/>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lastRenderedPageBreak/>
        <w:t xml:space="preserve">ראשית, לא ניתן טעם של ממש מדוע לא הועלתה טענת חוסר הסמכות בבית משפט קמא. הנסיון לטעון כאילו טענת חוסר הסמכות התגלתה למערערים רק לאחר הגשת העתירה לבג"צ אין די בה, שכן לא נטען ולא הובהר כי לא הייתה אפשרות להעלות את הטענה בפני הערכאה הדיונית, מה עוד שמדובר בטענה המצריכה בירור עובדתי אשר אין מקומו בערכאת הערעור.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זאת ועוד. העתירה בבג"ץ 5494/23 כלל לא הוגשה כנגד המשיבה אלא כנגד "</w:t>
      </w:r>
      <w:r>
        <w:rPr>
          <w:rFonts w:ascii="David" w:hAnsi="David"/>
          <w:b/>
          <w:bCs/>
          <w:rtl/>
        </w:rPr>
        <w:t>עמידר החברה הלאומית לשיכון בישראל</w:t>
      </w:r>
      <w:r>
        <w:rPr>
          <w:rFonts w:ascii="David" w:hAnsi="David"/>
          <w:rtl/>
        </w:rPr>
        <w:t>" (להלן: "</w:t>
      </w:r>
      <w:r>
        <w:rPr>
          <w:rFonts w:ascii="David" w:hAnsi="David"/>
          <w:b/>
          <w:bCs/>
          <w:rtl/>
        </w:rPr>
        <w:t>עמידר</w:t>
      </w:r>
      <w:r>
        <w:rPr>
          <w:rFonts w:ascii="David" w:hAnsi="David"/>
          <w:rtl/>
        </w:rPr>
        <w:t>"). המשיבה בתשובתה הדגישה כי מעמדה אינו דומה למעמד של עמידר, ולו מחמת כך שהיא, בהבדל מעמידר, זכאית להירשם כבעלים של הדירה ומשכך אין היא זקוקה להסמכה נוספת. ב"כ המשיבה הוסיפה וציינה כי מינויה אושר בעבר על ידי רשות החברות הממשלתיות ועם התכנסות הוועדה היא תדון בהמשך התקשרותה.</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בהינתן כי המשיבה לא היתה צד לעתירה בבג"ץ, מחובת המערערים היה להראות כי חרף כך יש להחיל עליה את החלטת בג"ץ וזאת לא נעשה.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נוכח ההבחנה הנטענת בין המשיבה לבין עמידר (אשר אין מקום לבררה במסגרת הערעור), לא ניתן לקבל את עמדת ב"כ המערער המבקש להחיל על המשיבה את צו הביניים שניתן בבג"צ ביחס לעמידר, ולא ביחס למשיבה.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מעבר לכך. צו הביניים שניתן בבג"ץ 5494/23 ביום 14.4.2024 קבע כי: </w:t>
      </w:r>
    </w:p>
    <w:p w:rsidR="0058531B" w:rsidRDefault="0058531B" w:rsidP="00150E7E">
      <w:pPr>
        <w:pStyle w:val="ad"/>
        <w:spacing w:line="360" w:lineRule="auto"/>
        <w:ind w:left="369"/>
        <w:jc w:val="both"/>
        <w:rPr>
          <w:rFonts w:ascii="David" w:hAnsi="David"/>
          <w:rtl/>
        </w:rPr>
      </w:pPr>
      <w:r>
        <w:rPr>
          <w:rFonts w:ascii="David" w:hAnsi="David"/>
          <w:rtl/>
        </w:rPr>
        <w:t>"</w:t>
      </w:r>
      <w:r>
        <w:rPr>
          <w:rFonts w:ascii="David" w:hAnsi="David"/>
          <w:b/>
          <w:bCs/>
          <w:rtl/>
        </w:rPr>
        <w:t>לא יוגשו הליכים חדשים על ידי עורכי דין שלא קבלו את אישור הוועדה</w:t>
      </w:r>
      <w:r>
        <w:rPr>
          <w:rFonts w:ascii="David" w:hAnsi="David"/>
          <w:rtl/>
        </w:rPr>
        <w:t>" (להלן: "</w:t>
      </w:r>
      <w:r>
        <w:rPr>
          <w:rFonts w:ascii="David" w:hAnsi="David"/>
          <w:b/>
          <w:bCs/>
          <w:rtl/>
        </w:rPr>
        <w:t>צו הביניים</w:t>
      </w:r>
      <w:r>
        <w:rPr>
          <w:rFonts w:ascii="David" w:hAnsi="David"/>
          <w:rtl/>
        </w:rPr>
        <w:t xml:space="preserve">").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הנה כי כן, צו הביניים צופה פני עתיד ולא מתייחס להליכים שקדמו להוצאתו, ובכללם התביעה נגד המערערים שהוגשה בספטמבר 2021. </w:t>
      </w:r>
    </w:p>
    <w:p w:rsidR="0058531B" w:rsidRDefault="0058531B" w:rsidP="00150E7E">
      <w:pPr>
        <w:pStyle w:val="ad"/>
        <w:spacing w:line="360" w:lineRule="auto"/>
        <w:ind w:left="369"/>
        <w:jc w:val="both"/>
        <w:rPr>
          <w:rFonts w:ascii="David" w:hAnsi="David"/>
          <w:rtl/>
        </w:rPr>
      </w:pPr>
      <w:r>
        <w:rPr>
          <w:rFonts w:ascii="David" w:hAnsi="David"/>
          <w:rtl/>
        </w:rPr>
        <w:t>עוד יצויין, כי בסופו של יום העתירה בבג"ץ 5494/23 נמחקה, כך שממילא אין להתבסס על צו הביניים כפי שבקש ב"כ המערערים.</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על כן, הטענה נדחית.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b/>
          <w:bCs/>
          <w:rtl/>
        </w:rPr>
      </w:pPr>
      <w:r>
        <w:rPr>
          <w:rFonts w:ascii="David" w:hAnsi="David"/>
          <w:rtl/>
        </w:rPr>
        <w:t>אשר לטענת האגרה- טענה זו מקומה היה, במובהק, בבית משפט קמא ולא ניתן כל טעם להימנעות מהעלאתה שם.</w:t>
      </w:r>
    </w:p>
    <w:p w:rsidR="0058531B" w:rsidRDefault="0058531B" w:rsidP="0058531B">
      <w:pPr>
        <w:pStyle w:val="ad"/>
        <w:spacing w:line="360" w:lineRule="auto"/>
        <w:jc w:val="both"/>
        <w:rPr>
          <w:rFonts w:ascii="David" w:hAnsi="David"/>
          <w:b/>
          <w:bCs/>
        </w:rPr>
      </w:pPr>
    </w:p>
    <w:p w:rsidR="0058531B" w:rsidRDefault="0058531B" w:rsidP="00150E7E">
      <w:pPr>
        <w:pStyle w:val="ad"/>
        <w:spacing w:line="360" w:lineRule="auto"/>
        <w:ind w:left="369"/>
        <w:jc w:val="both"/>
        <w:rPr>
          <w:rFonts w:ascii="David" w:hAnsi="David"/>
        </w:rPr>
      </w:pPr>
      <w:r>
        <w:rPr>
          <w:rFonts w:ascii="David" w:hAnsi="David"/>
          <w:rtl/>
        </w:rPr>
        <w:lastRenderedPageBreak/>
        <w:t xml:space="preserve">מעבר לכך, מאחר שבמענה לטענת המערער, השיבה המשיבה תשובה הנסמכת על  עובדות (ניהול  הדירה עבור המדינה מכוח הסכם ניהול, באופן שניתן לה פטור "מערכתי" מתשלום אגרה בהתאם לתקנה 19(א)(1) לתקנות בתי המשפט (אגרות) אשר תחולתו היא על </w:t>
      </w:r>
      <w:r>
        <w:rPr>
          <w:rFonts w:ascii="David" w:hAnsi="David"/>
          <w:b/>
          <w:bCs/>
          <w:rtl/>
        </w:rPr>
        <w:t>"המדינה וכל מי שהורשה לייצגה כשהוא מביא הליך מכוח הרשאתו;..."</w:t>
      </w:r>
      <w:r>
        <w:rPr>
          <w:rFonts w:ascii="David" w:hAnsi="David"/>
          <w:rtl/>
        </w:rPr>
        <w:t xml:space="preserve"> ), ברי כי אין מקום לעריכת הבירור העובדתי בפני ערכאת הערעור.</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על כן, הטענה נדחית.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משנדחו שתי הטענות שהועלו בערעור (אשר כאמור, במסגרתו לא הועלו טענות כנגד הקביעות והמסקנות בפסק הדין של בית משפט קמא) , דין הערעור להידחות.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ובסיום, שתי הערות: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3"/>
        </w:numPr>
        <w:spacing w:line="360" w:lineRule="auto"/>
        <w:ind w:left="794"/>
        <w:jc w:val="both"/>
        <w:rPr>
          <w:rFonts w:ascii="David" w:hAnsi="David"/>
          <w:rtl/>
        </w:rPr>
      </w:pPr>
      <w:r>
        <w:rPr>
          <w:rFonts w:ascii="David" w:hAnsi="David"/>
          <w:rtl/>
        </w:rPr>
        <w:t xml:space="preserve">קיימת אי בהירות בשאלה אם הערעור הוגש רק על ידי המערער 1 או גם על ידי מערערת 2. בהודעת הערעור צוינו שני המערערים ואולם לדיון התייצב המערער בלבד כשהוא מיוצג על ידי עו"ד דרעי, כשזה האחרון לא הציג יפוי כח מטעם המערערת 2. </w:t>
      </w:r>
    </w:p>
    <w:p w:rsidR="0058531B" w:rsidRDefault="0058531B" w:rsidP="0058531B">
      <w:pPr>
        <w:pStyle w:val="ad"/>
        <w:spacing w:line="360" w:lineRule="auto"/>
        <w:ind w:left="1080"/>
        <w:jc w:val="both"/>
        <w:rPr>
          <w:rFonts w:ascii="David" w:hAnsi="David"/>
          <w:rtl/>
        </w:rPr>
      </w:pPr>
    </w:p>
    <w:p w:rsidR="0058531B" w:rsidRPr="00150E7E" w:rsidRDefault="00150E7E" w:rsidP="00150E7E">
      <w:pPr>
        <w:spacing w:line="360" w:lineRule="auto"/>
        <w:jc w:val="both"/>
        <w:rPr>
          <w:rFonts w:ascii="David" w:hAnsi="David"/>
          <w:rtl/>
        </w:rPr>
      </w:pPr>
      <w:r>
        <w:rPr>
          <w:rFonts w:ascii="David" w:hAnsi="David" w:hint="cs"/>
          <w:rtl/>
        </w:rPr>
        <w:t xml:space="preserve"> </w:t>
      </w:r>
      <w:r>
        <w:rPr>
          <w:rFonts w:ascii="David" w:hAnsi="David" w:hint="cs"/>
          <w:rtl/>
        </w:rPr>
        <w:tab/>
        <w:t xml:space="preserve"> </w:t>
      </w:r>
      <w:r w:rsidR="0058531B" w:rsidRPr="00150E7E">
        <w:rPr>
          <w:rFonts w:ascii="David" w:hAnsi="David"/>
          <w:rtl/>
        </w:rPr>
        <w:t>בנסיבות העניין, ולמניעת ספק, יובהר כי פסק הדין מחייב גם את המערערת 2.</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3"/>
        </w:numPr>
        <w:spacing w:line="360" w:lineRule="auto"/>
        <w:ind w:left="794"/>
        <w:jc w:val="both"/>
        <w:rPr>
          <w:rFonts w:ascii="David" w:hAnsi="David"/>
          <w:rtl/>
        </w:rPr>
      </w:pPr>
      <w:r>
        <w:rPr>
          <w:rFonts w:ascii="David" w:hAnsi="David"/>
          <w:rtl/>
        </w:rPr>
        <w:t xml:space="preserve">בסמיכות לאחר הדיון, פנה המערער בעצמו בהודעה לבית משפט והודיע כי הוא מסכים למשיכת הערעור ופינוי הדירה תוך 3 חודשים. בהינתן כי פניית המערער נעשתה על ידו ולא באמצעות בא כוחו, הופנתה הבקשה להתייחסות ב"כ המערער, ובהמשך ניתנו מספר החלטות בנסיון להביא את הצדדים להסכמה. משלא ניתנה עמדת ב"כ המערער להצעה האחרונה שהועלתה, ניתן פסק הדין. </w:t>
      </w:r>
    </w:p>
    <w:p w:rsidR="0058531B" w:rsidRDefault="0058531B" w:rsidP="0058531B">
      <w:pPr>
        <w:pStyle w:val="ad"/>
        <w:spacing w:line="360" w:lineRule="auto"/>
        <w:ind w:left="1080"/>
        <w:jc w:val="both"/>
        <w:rPr>
          <w:rFonts w:ascii="David" w:hAnsi="David"/>
        </w:rPr>
      </w:pPr>
    </w:p>
    <w:p w:rsidR="0058531B" w:rsidRDefault="0058531B" w:rsidP="00150E7E">
      <w:pPr>
        <w:pStyle w:val="ad"/>
        <w:spacing w:line="360" w:lineRule="auto"/>
        <w:ind w:left="794"/>
        <w:jc w:val="both"/>
        <w:rPr>
          <w:rFonts w:ascii="David" w:hAnsi="David"/>
          <w:rtl/>
        </w:rPr>
      </w:pPr>
      <w:r>
        <w:rPr>
          <w:rFonts w:ascii="David" w:hAnsi="David"/>
          <w:rtl/>
        </w:rPr>
        <w:t>בנסיבות אלה, נוכח עמדת המערער שניתנה מיד בסמוך לאחר הדיון, ובהינתן מצבו הכלכלי הדחוק (כפי שבא לידי ביטוי במתן פטור מאגרה והפקדת ערבון) אציע שלא לחייבו בהוצאות.</w:t>
      </w: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Pr>
      </w:pPr>
    </w:p>
    <w:p w:rsidR="0058531B" w:rsidRDefault="0058531B" w:rsidP="002E3B62">
      <w:pPr>
        <w:pStyle w:val="ad"/>
        <w:numPr>
          <w:ilvl w:val="0"/>
          <w:numId w:val="1"/>
        </w:numPr>
        <w:spacing w:line="360" w:lineRule="auto"/>
        <w:ind w:left="369"/>
        <w:jc w:val="both"/>
        <w:rPr>
          <w:rFonts w:ascii="David" w:hAnsi="David"/>
          <w:rtl/>
        </w:rPr>
      </w:pPr>
      <w:r>
        <w:rPr>
          <w:rFonts w:ascii="David" w:hAnsi="David"/>
          <w:rtl/>
        </w:rPr>
        <w:lastRenderedPageBreak/>
        <w:t>סוף דבר- לו תישמע דעתי, הערעור יידחה ללא חיוב בהוצאות.</w:t>
      </w:r>
    </w:p>
    <w:tbl>
      <w:tblPr>
        <w:tblStyle w:val="a9"/>
        <w:tblpPr w:leftFromText="180" w:rightFromText="180" w:vertAnchor="text" w:horzAnchor="margin" w:tblpY="16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9314FC" w:rsidRPr="00916A9C" w:rsidTr="009314FC">
        <w:tc>
          <w:tcPr>
            <w:tcW w:w="2919" w:type="dxa"/>
            <w:tcBorders>
              <w:top w:val="nil"/>
              <w:left w:val="nil"/>
              <w:bottom w:val="single" w:sz="4" w:space="0" w:color="auto"/>
              <w:right w:val="nil"/>
            </w:tcBorders>
            <w:vAlign w:val="center"/>
          </w:tcPr>
          <w:p w:rsidR="009314FC" w:rsidRPr="00916A9C" w:rsidRDefault="009314FC" w:rsidP="009314FC">
            <w:pPr>
              <w:jc w:val="center"/>
              <w:rPr>
                <w:rFonts w:ascii="Courier New" w:hAnsi="Courier New"/>
                <w:b/>
                <w:bCs/>
              </w:rPr>
            </w:pPr>
            <w:r>
              <w:drawing>
                <wp:inline distT="0" distB="0" distL="0" distR="0" wp14:anchorId="7D01ADBE" wp14:editId="4473591F">
                  <wp:extent cx="1000125" cy="542925"/>
                  <wp:effectExtent l="0" t="0" r="9525" b="9525"/>
                  <wp:docPr id="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cstate="print">
                            <a:extLst/>
                          </a:blip>
                          <a:stretch>
                            <a:fillRect/>
                          </a:stretch>
                        </pic:blipFill>
                        <pic:spPr>
                          <a:xfrm>
                            <a:off x="0" y="0"/>
                            <a:ext cx="1000125" cy="542925"/>
                          </a:xfrm>
                          <a:prstGeom prst="rect">
                            <a:avLst/>
                          </a:prstGeom>
                        </pic:spPr>
                      </pic:pic>
                    </a:graphicData>
                  </a:graphic>
                </wp:inline>
              </w:drawing>
            </w:r>
          </w:p>
        </w:tc>
      </w:tr>
      <w:tr w:rsidR="009314FC" w:rsidRPr="00916A9C" w:rsidTr="009314FC">
        <w:tc>
          <w:tcPr>
            <w:tcW w:w="2919" w:type="dxa"/>
            <w:tcBorders>
              <w:top w:val="single" w:sz="4" w:space="0" w:color="auto"/>
              <w:left w:val="nil"/>
              <w:bottom w:val="nil"/>
              <w:right w:val="nil"/>
            </w:tcBorders>
            <w:vAlign w:val="bottom"/>
          </w:tcPr>
          <w:p w:rsidR="009314FC" w:rsidRPr="00916A9C" w:rsidRDefault="000517D1" w:rsidP="009314FC">
            <w:pPr>
              <w:jc w:val="center"/>
              <w:rPr>
                <w:rFonts w:ascii="Courier New" w:hAnsi="Courier New"/>
                <w:b/>
                <w:bCs/>
                <w:rtl/>
              </w:rPr>
            </w:pPr>
            <w:sdt>
              <w:sdtPr>
                <w:rPr>
                  <w:rFonts w:ascii="Courier New" w:hAnsi="Courier New"/>
                  <w:b/>
                  <w:bCs/>
                  <w:rtl/>
                </w:rPr>
                <w:alias w:val="2141"/>
                <w:tag w:val="2141"/>
                <w:id w:val="2119712613"/>
                <w:placeholder>
                  <w:docPart w:val="5A23F56B94A54855BC5F4FA74D4207FF"/>
                </w:placeholder>
                <w:text w:multiLine="1"/>
              </w:sdtPr>
              <w:sdtEndPr/>
              <w:sdtContent>
                <w:r w:rsidR="009314FC" w:rsidRPr="003857A5">
                  <w:rPr>
                    <w:rFonts w:ascii="Courier New" w:hAnsi="Courier New"/>
                    <w:b/>
                    <w:bCs/>
                    <w:rtl/>
                  </w:rPr>
                  <w:t>עידית</w:t>
                </w:r>
              </w:sdtContent>
            </w:sdt>
            <w:r w:rsidR="009314FC" w:rsidRPr="003857A5">
              <w:rPr>
                <w:rFonts w:ascii="Courier New" w:hAnsi="Courier New"/>
                <w:b/>
                <w:bCs/>
                <w:rtl/>
              </w:rPr>
              <w:t xml:space="preserve"> </w:t>
            </w:r>
            <w:sdt>
              <w:sdtPr>
                <w:rPr>
                  <w:rFonts w:ascii="Courier New" w:hAnsi="Courier New"/>
                  <w:b/>
                  <w:bCs/>
                  <w:rtl/>
                </w:rPr>
                <w:alias w:val="2142"/>
                <w:tag w:val="2142"/>
                <w:id w:val="-26639521"/>
                <w:placeholder>
                  <w:docPart w:val="AD3711EFBF2340D78F682FA75BA144CF"/>
                </w:placeholder>
                <w:text w:multiLine="1"/>
              </w:sdtPr>
              <w:sdtEndPr/>
              <w:sdtContent>
                <w:r w:rsidR="009314FC" w:rsidRPr="003857A5">
                  <w:rPr>
                    <w:rFonts w:ascii="Courier New" w:hAnsi="Courier New"/>
                    <w:b/>
                    <w:bCs/>
                    <w:rtl/>
                  </w:rPr>
                  <w:t>ברקוביץ</w:t>
                </w:r>
              </w:sdtContent>
            </w:sdt>
            <w:r w:rsidR="009314FC">
              <w:rPr>
                <w:rFonts w:ascii="Courier New" w:hAnsi="Courier New"/>
                <w:b/>
                <w:bCs/>
                <w:rtl/>
              </w:rPr>
              <w:t>, שופט</w:t>
            </w:r>
            <w:r w:rsidR="009314FC">
              <w:rPr>
                <w:rFonts w:ascii="Courier New" w:hAnsi="Courier New" w:hint="cs"/>
                <w:b/>
                <w:bCs/>
                <w:rtl/>
              </w:rPr>
              <w:t>ת</w:t>
            </w:r>
          </w:p>
          <w:p w:rsidR="009314FC" w:rsidRPr="00916A9C" w:rsidRDefault="009314FC" w:rsidP="009314FC">
            <w:pPr>
              <w:jc w:val="center"/>
              <w:rPr>
                <w:rFonts w:ascii="Courier New" w:hAnsi="Courier New"/>
                <w:b/>
                <w:bCs/>
              </w:rPr>
            </w:pPr>
          </w:p>
        </w:tc>
      </w:tr>
    </w:tbl>
    <w:p w:rsidR="00694556" w:rsidRDefault="00694556">
      <w:pPr>
        <w:spacing w:line="360" w:lineRule="auto"/>
        <w:jc w:val="both"/>
        <w:rPr>
          <w:rFonts w:ascii="Arial" w:hAnsi="Arial"/>
          <w:noProof w:val="0"/>
          <w:rtl/>
        </w:rPr>
      </w:pPr>
    </w:p>
    <w:p w:rsidR="009314FC" w:rsidRDefault="009314FC" w:rsidP="006D0F56">
      <w:pPr>
        <w:rPr>
          <w:rtl/>
        </w:rPr>
      </w:pPr>
    </w:p>
    <w:p w:rsidR="009314FC" w:rsidRDefault="009314FC" w:rsidP="006D0F56">
      <w:pPr>
        <w:rPr>
          <w:rtl/>
        </w:rPr>
      </w:pPr>
    </w:p>
    <w:p w:rsidR="009314FC" w:rsidRDefault="009314FC" w:rsidP="006D0F56">
      <w:pPr>
        <w:rPr>
          <w:rtl/>
        </w:rPr>
      </w:pPr>
    </w:p>
    <w:p w:rsidR="009314FC" w:rsidRDefault="009314FC" w:rsidP="006D0F56">
      <w:pPr>
        <w:rPr>
          <w:rtl/>
        </w:rPr>
      </w:pPr>
    </w:p>
    <w:p w:rsidR="002E3B62" w:rsidRDefault="002E3B62">
      <w:pPr>
        <w:spacing w:line="360" w:lineRule="auto"/>
        <w:jc w:val="both"/>
        <w:rPr>
          <w:rtl/>
        </w:rPr>
      </w:pPr>
    </w:p>
    <w:p w:rsidR="00694556" w:rsidRPr="009314FC" w:rsidRDefault="009314FC">
      <w:pPr>
        <w:spacing w:line="360" w:lineRule="auto"/>
        <w:jc w:val="both"/>
        <w:rPr>
          <w:rFonts w:ascii="Arial" w:hAnsi="Arial"/>
          <w:b/>
          <w:bCs/>
          <w:noProof w:val="0"/>
          <w:u w:val="single"/>
          <w:rtl/>
        </w:rPr>
      </w:pPr>
      <w:r w:rsidRPr="009314FC">
        <w:rPr>
          <w:rFonts w:ascii="Arial" w:hAnsi="Arial" w:hint="cs"/>
          <w:b/>
          <w:bCs/>
          <w:noProof w:val="0"/>
          <w:u w:val="single"/>
          <w:rtl/>
        </w:rPr>
        <w:t xml:space="preserve">השופט י. אטדגי, אב"ד: </w:t>
      </w:r>
    </w:p>
    <w:p w:rsidR="009314FC" w:rsidRDefault="009314FC">
      <w:pPr>
        <w:spacing w:line="360" w:lineRule="auto"/>
        <w:jc w:val="both"/>
        <w:rPr>
          <w:rFonts w:ascii="Arial" w:hAnsi="Arial"/>
          <w:noProof w:val="0"/>
          <w:rtl/>
        </w:rPr>
      </w:pPr>
      <w:r>
        <w:rPr>
          <w:rFonts w:ascii="Arial" w:hAnsi="Arial" w:hint="cs"/>
          <w:noProof w:val="0"/>
          <w:rtl/>
        </w:rPr>
        <w:t xml:space="preserve">אני מסכים. </w:t>
      </w:r>
    </w:p>
    <w:tbl>
      <w:tblPr>
        <w:tblStyle w:val="a9"/>
        <w:tblpPr w:leftFromText="180" w:rightFromText="180" w:vertAnchor="text" w:horzAnchor="margin" w:tblpY="3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9314FC" w:rsidRPr="00916A9C" w:rsidTr="009314FC">
        <w:tc>
          <w:tcPr>
            <w:tcW w:w="2919" w:type="dxa"/>
            <w:tcBorders>
              <w:top w:val="nil"/>
              <w:left w:val="nil"/>
              <w:bottom w:val="single" w:sz="4" w:space="0" w:color="auto"/>
              <w:right w:val="nil"/>
            </w:tcBorders>
            <w:vAlign w:val="center"/>
          </w:tcPr>
          <w:p w:rsidR="009314FC" w:rsidRDefault="009314FC" w:rsidP="009314FC">
            <w:pPr>
              <w:jc w:val="center"/>
              <w:rPr>
                <w:rFonts w:ascii="Courier New" w:hAnsi="Courier New"/>
                <w:b/>
                <w:bCs/>
              </w:rPr>
            </w:pPr>
          </w:p>
          <w:p w:rsidR="009314FC" w:rsidRDefault="009314FC" w:rsidP="009314FC">
            <w:pPr>
              <w:jc w:val="center"/>
              <w:rPr>
                <w:rFonts w:ascii="Courier New" w:hAnsi="Courier New"/>
                <w:b/>
                <w:bCs/>
              </w:rPr>
            </w:pPr>
          </w:p>
          <w:p w:rsidR="009314FC" w:rsidRDefault="009314FC" w:rsidP="009314FC">
            <w:pPr>
              <w:jc w:val="center"/>
              <w:rPr>
                <w:rFonts w:ascii="Courier New" w:hAnsi="Courier New"/>
                <w:b/>
                <w:bCs/>
              </w:rPr>
            </w:pPr>
          </w:p>
          <w:p w:rsidR="009314FC" w:rsidRDefault="009314FC" w:rsidP="009314FC">
            <w:pPr>
              <w:jc w:val="center"/>
              <w:rPr>
                <w:rFonts w:ascii="Courier New" w:hAnsi="Courier New"/>
                <w:b/>
                <w:bCs/>
              </w:rPr>
            </w:pPr>
          </w:p>
          <w:p w:rsidR="009314FC" w:rsidRPr="00916A9C" w:rsidRDefault="009314FC" w:rsidP="009314FC">
            <w:pPr>
              <w:jc w:val="center"/>
              <w:rPr>
                <w:rFonts w:ascii="Courier New" w:hAnsi="Courier New"/>
                <w:b/>
                <w:bCs/>
              </w:rPr>
            </w:pPr>
          </w:p>
        </w:tc>
      </w:tr>
      <w:tr w:rsidR="009314FC" w:rsidRPr="00916A9C" w:rsidTr="009314FC">
        <w:tc>
          <w:tcPr>
            <w:tcW w:w="2919" w:type="dxa"/>
            <w:tcBorders>
              <w:top w:val="single" w:sz="4" w:space="0" w:color="auto"/>
              <w:left w:val="nil"/>
              <w:bottom w:val="nil"/>
              <w:right w:val="nil"/>
            </w:tcBorders>
            <w:vAlign w:val="bottom"/>
          </w:tcPr>
          <w:p w:rsidR="009314FC" w:rsidRPr="00916A9C" w:rsidRDefault="009314FC" w:rsidP="009314FC">
            <w:pPr>
              <w:jc w:val="center"/>
              <w:rPr>
                <w:rFonts w:ascii="Courier New" w:hAnsi="Courier New"/>
                <w:b/>
                <w:bCs/>
                <w:rtl/>
              </w:rPr>
            </w:pPr>
            <w:r>
              <w:rPr>
                <w:rFonts w:ascii="Courier New" w:hAnsi="Courier New"/>
                <w:b/>
                <w:bCs/>
                <w:rtl/>
              </w:rPr>
              <w:t>יונה אטדגי, שופט</w:t>
            </w:r>
          </w:p>
          <w:p w:rsidR="009314FC" w:rsidRPr="00916A9C" w:rsidRDefault="009314FC" w:rsidP="009314FC">
            <w:pPr>
              <w:jc w:val="center"/>
              <w:rPr>
                <w:rFonts w:ascii="Courier New" w:hAnsi="Courier New"/>
                <w:b/>
                <w:bCs/>
              </w:rPr>
            </w:pPr>
          </w:p>
        </w:tc>
      </w:tr>
    </w:tbl>
    <w:p w:rsidR="00694556" w:rsidRDefault="009314FC">
      <w:pPr>
        <w:spacing w:line="360" w:lineRule="auto"/>
        <w:jc w:val="both"/>
        <w:rPr>
          <w:rFonts w:ascii="Arial" w:hAnsi="Arial"/>
          <w:noProof w:val="0"/>
          <w:rtl/>
        </w:rPr>
      </w:pPr>
      <w:r>
        <w:drawing>
          <wp:anchor distT="0" distB="0" distL="114300" distR="114300" simplePos="0" relativeHeight="251659264" behindDoc="1" locked="0" layoutInCell="1" allowOverlap="1" wp14:anchorId="4DDCD493" wp14:editId="2BD3E278">
            <wp:simplePos x="0" y="0"/>
            <wp:positionH relativeFrom="column">
              <wp:posOffset>130175</wp:posOffset>
            </wp:positionH>
            <wp:positionV relativeFrom="paragraph">
              <wp:posOffset>18167</wp:posOffset>
            </wp:positionV>
            <wp:extent cx="1509395" cy="933450"/>
            <wp:effectExtent l="0" t="0" r="0" b="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14FC" w:rsidRDefault="009314FC" w:rsidP="006C47A9">
      <w:pPr>
        <w:rPr>
          <w:rtl/>
        </w:rPr>
      </w:pPr>
    </w:p>
    <w:p w:rsidR="009314FC" w:rsidRDefault="009314FC" w:rsidP="006C47A9">
      <w:pPr>
        <w:rPr>
          <w:rtl/>
        </w:rPr>
      </w:pPr>
    </w:p>
    <w:p w:rsidR="009314FC" w:rsidRDefault="009314FC" w:rsidP="006C47A9">
      <w:pPr>
        <w:rPr>
          <w:rtl/>
        </w:rPr>
      </w:pPr>
    </w:p>
    <w:p w:rsidR="009314FC" w:rsidRDefault="009314FC" w:rsidP="006C47A9">
      <w:pPr>
        <w:rPr>
          <w:rtl/>
        </w:rPr>
      </w:pPr>
    </w:p>
    <w:p w:rsidR="009314FC" w:rsidRPr="003A3B41" w:rsidRDefault="009314FC" w:rsidP="006C47A9"/>
    <w:p w:rsidR="009314FC" w:rsidRDefault="009314FC"/>
    <w:p w:rsidR="009314FC" w:rsidRPr="009314FC" w:rsidRDefault="009314FC">
      <w:pPr>
        <w:spacing w:line="360" w:lineRule="auto"/>
        <w:jc w:val="both"/>
        <w:rPr>
          <w:rFonts w:ascii="Arial" w:hAnsi="Arial"/>
          <w:b/>
          <w:bCs/>
          <w:noProof w:val="0"/>
          <w:u w:val="single"/>
          <w:rtl/>
        </w:rPr>
      </w:pPr>
      <w:r w:rsidRPr="009314FC">
        <w:rPr>
          <w:rFonts w:ascii="Arial" w:hAnsi="Arial" w:hint="cs"/>
          <w:b/>
          <w:bCs/>
          <w:noProof w:val="0"/>
          <w:u w:val="single"/>
          <w:rtl/>
        </w:rPr>
        <w:t xml:space="preserve">השופטת ט. לוי-מיכאלי: </w:t>
      </w:r>
    </w:p>
    <w:p w:rsidR="009314FC" w:rsidRDefault="009314FC">
      <w:pPr>
        <w:spacing w:line="360" w:lineRule="auto"/>
        <w:jc w:val="both"/>
        <w:rPr>
          <w:rFonts w:ascii="Arial" w:hAnsi="Arial"/>
          <w:noProof w:val="0"/>
          <w:rtl/>
        </w:rPr>
      </w:pPr>
      <w:r>
        <w:rPr>
          <w:rFonts w:ascii="Arial" w:hAnsi="Arial" w:hint="cs"/>
          <w:noProof w:val="0"/>
          <w:rtl/>
        </w:rPr>
        <w:t xml:space="preserve">אני מסכימה. </w:t>
      </w:r>
    </w:p>
    <w:tbl>
      <w:tblPr>
        <w:tblStyle w:val="a9"/>
        <w:tblpPr w:leftFromText="180" w:rightFromText="180" w:vertAnchor="text" w:horzAnchor="margin" w:tblpY="186"/>
        <w:bidiVisual/>
        <w:tblW w:w="2919"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919"/>
      </w:tblGrid>
      <w:tr w:rsidR="009314FC" w:rsidTr="009314FC">
        <w:trPr>
          <w:trHeight w:val="422"/>
        </w:trPr>
        <w:tc>
          <w:tcPr>
            <w:tcW w:w="2919" w:type="dxa"/>
            <w:tcBorders>
              <w:top w:val="nil"/>
              <w:left w:val="nil"/>
              <w:bottom w:val="single" w:sz="4" w:space="0" w:color="auto"/>
              <w:right w:val="nil"/>
            </w:tcBorders>
            <w:hideMark/>
          </w:tcPr>
          <w:p w:rsidR="009314FC" w:rsidRDefault="009314FC" w:rsidP="009314FC">
            <w:pPr>
              <w:jc w:val="center"/>
              <w:rPr>
                <w:rtl/>
              </w:rPr>
            </w:pPr>
            <w:r>
              <w:drawing>
                <wp:inline distT="0" distB="0" distL="0" distR="0" wp14:anchorId="53FC7D63" wp14:editId="18632DC9">
                  <wp:extent cx="704850" cy="361950"/>
                  <wp:effectExtent l="0" t="0" r="0" b="0"/>
                  <wp:docPr id="4"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21" cstate="print">
                            <a:extLst/>
                          </a:blip>
                          <a:stretch>
                            <a:fillRect/>
                          </a:stretch>
                        </pic:blipFill>
                        <pic:spPr>
                          <a:xfrm>
                            <a:off x="0" y="0"/>
                            <a:ext cx="704850" cy="361950"/>
                          </a:xfrm>
                          <a:prstGeom prst="rect">
                            <a:avLst/>
                          </a:prstGeom>
                        </pic:spPr>
                      </pic:pic>
                    </a:graphicData>
                  </a:graphic>
                </wp:inline>
              </w:drawing>
            </w:r>
          </w:p>
        </w:tc>
      </w:tr>
      <w:tr w:rsidR="009314FC" w:rsidTr="009314FC">
        <w:trPr>
          <w:trHeight w:val="499"/>
        </w:trPr>
        <w:tc>
          <w:tcPr>
            <w:tcW w:w="2919" w:type="dxa"/>
            <w:tcBorders>
              <w:top w:val="single" w:sz="4" w:space="0" w:color="auto"/>
              <w:left w:val="nil"/>
              <w:bottom w:val="nil"/>
              <w:right w:val="nil"/>
            </w:tcBorders>
            <w:hideMark/>
          </w:tcPr>
          <w:p w:rsidR="009314FC" w:rsidRDefault="009314FC" w:rsidP="009314FC">
            <w:pPr>
              <w:jc w:val="center"/>
              <w:rPr>
                <w:b/>
                <w:bCs/>
                <w:rtl/>
              </w:rPr>
            </w:pPr>
            <w:r>
              <w:rPr>
                <w:rFonts w:hint="cs"/>
                <w:b/>
                <w:bCs/>
                <w:rtl/>
              </w:rPr>
              <w:t>טל לוי מיכאלי</w:t>
            </w:r>
            <w:r>
              <w:rPr>
                <w:b/>
                <w:bCs/>
                <w:rtl/>
              </w:rPr>
              <w:t>, שופטת</w:t>
            </w:r>
          </w:p>
        </w:tc>
      </w:tr>
    </w:tbl>
    <w:p w:rsidR="009314FC" w:rsidRDefault="009314FC" w:rsidP="00AA18F1">
      <w:pPr>
        <w:jc w:val="center"/>
      </w:pPr>
    </w:p>
    <w:p w:rsidR="009314FC" w:rsidRDefault="009314FC" w:rsidP="00AA18F1">
      <w:pPr>
        <w:rPr>
          <w:rtl/>
        </w:rPr>
      </w:pPr>
    </w:p>
    <w:p w:rsidR="009314FC" w:rsidRDefault="009314FC">
      <w:pPr>
        <w:spacing w:line="360" w:lineRule="auto"/>
        <w:jc w:val="both"/>
        <w:rPr>
          <w:rFonts w:ascii="Arial" w:hAnsi="Arial"/>
          <w:noProof w:val="0"/>
          <w:rtl/>
        </w:rPr>
      </w:pPr>
    </w:p>
    <w:p w:rsidR="002E3B62" w:rsidRDefault="002E3B62">
      <w:pPr>
        <w:spacing w:line="360" w:lineRule="auto"/>
        <w:jc w:val="both"/>
        <w:rPr>
          <w:rFonts w:ascii="Arial" w:hAnsi="Arial"/>
          <w:noProof w:val="0"/>
          <w:rtl/>
        </w:rPr>
      </w:pPr>
    </w:p>
    <w:p w:rsidR="00694556" w:rsidRPr="002E3B62" w:rsidRDefault="002E3B62">
      <w:pPr>
        <w:spacing w:line="360" w:lineRule="auto"/>
        <w:jc w:val="both"/>
        <w:rPr>
          <w:rFonts w:ascii="Arial" w:hAnsi="Arial"/>
          <w:b/>
          <w:bCs/>
          <w:noProof w:val="0"/>
          <w:u w:val="single"/>
          <w:rtl/>
        </w:rPr>
      </w:pPr>
      <w:r w:rsidRPr="002E3B62">
        <w:rPr>
          <w:rFonts w:ascii="Arial" w:hAnsi="Arial" w:hint="cs"/>
          <w:b/>
          <w:bCs/>
          <w:noProof w:val="0"/>
          <w:u w:val="single"/>
          <w:rtl/>
        </w:rPr>
        <w:t>תוצאה</w:t>
      </w:r>
    </w:p>
    <w:p w:rsidR="002E3B62" w:rsidRDefault="002E3B62">
      <w:pPr>
        <w:spacing w:line="360" w:lineRule="auto"/>
        <w:jc w:val="both"/>
        <w:rPr>
          <w:rFonts w:ascii="Arial" w:hAnsi="Arial"/>
          <w:noProof w:val="0"/>
          <w:rtl/>
        </w:rPr>
      </w:pPr>
      <w:r>
        <w:rPr>
          <w:rFonts w:ascii="Arial" w:hAnsi="Arial" w:hint="cs"/>
          <w:noProof w:val="0"/>
          <w:rtl/>
        </w:rPr>
        <w:t xml:space="preserve">הערעור נדחה. </w:t>
      </w:r>
    </w:p>
    <w:p w:rsidR="002E3B62" w:rsidRDefault="002E3B62">
      <w:pPr>
        <w:spacing w:line="360" w:lineRule="auto"/>
        <w:jc w:val="both"/>
        <w:rPr>
          <w:rFonts w:ascii="Arial" w:hAnsi="Arial"/>
          <w:noProof w:val="0"/>
          <w:rtl/>
        </w:rPr>
      </w:pPr>
      <w:r>
        <w:rPr>
          <w:rFonts w:ascii="Arial" w:hAnsi="Arial" w:hint="cs"/>
          <w:noProof w:val="0"/>
          <w:rtl/>
        </w:rPr>
        <w:t xml:space="preserve">אין צו להוצאות. </w:t>
      </w:r>
    </w:p>
    <w:p w:rsidR="002E3B62" w:rsidRDefault="002E3B62" w:rsidP="002E3B62">
      <w:pPr>
        <w:spacing w:line="360" w:lineRule="auto"/>
        <w:jc w:val="both"/>
        <w:rPr>
          <w:rFonts w:ascii="Arial" w:hAnsi="Arial"/>
          <w:noProof w:val="0"/>
          <w:rtl/>
        </w:rPr>
      </w:pPr>
      <w:r>
        <w:rPr>
          <w:rFonts w:ascii="Arial" w:hAnsi="Arial" w:hint="cs"/>
          <w:noProof w:val="0"/>
          <w:rtl/>
        </w:rPr>
        <w:t xml:space="preserve">המזכירות תשיב למערערים, באמצעות ב"כ, את העירבון. </w:t>
      </w:r>
    </w:p>
    <w:p w:rsidR="002E3B62" w:rsidRDefault="002E3B6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ל'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דצמבר 2024</w:t>
          </w:r>
        </w:sdtContent>
      </w:sdt>
      <w:r>
        <w:rPr>
          <w:rFonts w:ascii="Arial" w:hAnsi="Arial"/>
          <w:noProof w:val="0"/>
          <w:rtl/>
        </w:rPr>
        <w:t>, בהעדר הצדדים.</w:t>
      </w:r>
    </w:p>
    <w:p w:rsidR="002E3B62" w:rsidRDefault="005B0F49" w:rsidP="009314FC">
      <w:pPr>
        <w:spacing w:line="360" w:lineRule="auto"/>
        <w:jc w:val="both"/>
        <w:rPr>
          <w:rFonts w:ascii="Arial" w:hAnsi="Arial"/>
          <w:noProof w:val="0"/>
          <w:rtl/>
        </w:rPr>
      </w:pPr>
      <w:r>
        <w:rPr>
          <w:rFonts w:ascii="Arial" w:hAnsi="Arial" w:hint="cs"/>
          <w:noProof w:val="0"/>
          <w:rtl/>
        </w:rPr>
        <w:tab/>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6"/>
        <w:gridCol w:w="235"/>
        <w:gridCol w:w="2246"/>
        <w:gridCol w:w="293"/>
        <w:gridCol w:w="2607"/>
      </w:tblGrid>
      <w:tr w:rsidR="002E3B62" w:rsidRPr="00BF3AE2" w:rsidTr="0090550C">
        <w:tc>
          <w:tcPr>
            <w:tcW w:w="2960" w:type="dxa"/>
            <w:tcBorders>
              <w:top w:val="nil"/>
              <w:left w:val="nil"/>
              <w:bottom w:val="single" w:sz="4" w:space="0" w:color="auto"/>
              <w:right w:val="nil"/>
            </w:tcBorders>
            <w:vAlign w:val="center"/>
          </w:tcPr>
          <w:p w:rsidR="002E3B62" w:rsidRPr="00BF3AE2" w:rsidRDefault="002E3B62" w:rsidP="00BF3AE2">
            <w:pPr>
              <w:jc w:val="center"/>
              <w:rPr>
                <w:rFonts w:ascii="Courier New" w:hAnsi="Courier New"/>
                <w:b/>
                <w:bCs/>
                <w:lang w:eastAsia="he-IL"/>
              </w:rPr>
            </w:pPr>
            <w:r>
              <w:drawing>
                <wp:inline distT="0" distB="0" distL="0" distR="0" wp14:anchorId="17BF7225" wp14:editId="268AC2D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2E3B62" w:rsidRPr="00BF3AE2" w:rsidRDefault="002E3B62" w:rsidP="00BF3AE2">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2E3B62" w:rsidRPr="00BF3AE2" w:rsidRDefault="002E3B62" w:rsidP="00BF3AE2">
            <w:pPr>
              <w:jc w:val="center"/>
              <w:rPr>
                <w:rFonts w:ascii="Courier New" w:hAnsi="Courier New"/>
                <w:b/>
                <w:bCs/>
                <w:sz w:val="20"/>
                <w:szCs w:val="20"/>
                <w:rtl/>
                <w:lang w:eastAsia="he-IL"/>
              </w:rPr>
            </w:pPr>
            <w:r>
              <w:object w:dxaOrig="1605"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5pt;height:52.55pt" o:ole="">
                  <v:imagedata r:id="rId22" o:title=""/>
                </v:shape>
                <o:OLEObject Type="Embed" ProgID="PBrush" ShapeID="_x0000_i1025" DrawAspect="Content" ObjectID="_1794726199" r:id="rId23"/>
              </w:object>
            </w:r>
          </w:p>
        </w:tc>
        <w:tc>
          <w:tcPr>
            <w:tcW w:w="300" w:type="dxa"/>
            <w:vAlign w:val="center"/>
          </w:tcPr>
          <w:p w:rsidR="002E3B62" w:rsidRPr="00BF3AE2" w:rsidRDefault="002E3B62" w:rsidP="00BF3AE2">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2E3B62" w:rsidRPr="00BF3AE2" w:rsidRDefault="002E3B62" w:rsidP="00BF3AE2">
            <w:pPr>
              <w:jc w:val="center"/>
              <w:rPr>
                <w:rFonts w:ascii="Courier New" w:hAnsi="Courier New"/>
                <w:b/>
                <w:bCs/>
                <w:sz w:val="20"/>
                <w:szCs w:val="20"/>
                <w:lang w:eastAsia="he-IL"/>
              </w:rPr>
            </w:pPr>
            <w:r>
              <w:drawing>
                <wp:inline distT="0" distB="0" distL="0" distR="0" wp14:anchorId="0F310C73" wp14:editId="67B75F1C">
                  <wp:extent cx="704850" cy="36195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21" cstate="print">
                            <a:extLst/>
                          </a:blip>
                          <a:stretch>
                            <a:fillRect/>
                          </a:stretch>
                        </pic:blipFill>
                        <pic:spPr>
                          <a:xfrm>
                            <a:off x="0" y="0"/>
                            <a:ext cx="704850" cy="361950"/>
                          </a:xfrm>
                          <a:prstGeom prst="rect">
                            <a:avLst/>
                          </a:prstGeom>
                        </pic:spPr>
                      </pic:pic>
                    </a:graphicData>
                  </a:graphic>
                </wp:inline>
              </w:drawing>
            </w:r>
          </w:p>
        </w:tc>
      </w:tr>
      <w:tr w:rsidR="002E3B62" w:rsidRPr="00BF3AE2" w:rsidTr="0090550C">
        <w:tc>
          <w:tcPr>
            <w:tcW w:w="2960" w:type="dxa"/>
            <w:tcBorders>
              <w:top w:val="single" w:sz="4" w:space="0" w:color="auto"/>
              <w:left w:val="nil"/>
              <w:bottom w:val="nil"/>
              <w:right w:val="nil"/>
            </w:tcBorders>
            <w:vAlign w:val="bottom"/>
          </w:tcPr>
          <w:p w:rsidR="002E3B62" w:rsidRPr="00BF3AE2" w:rsidRDefault="002E3B62" w:rsidP="005C6E5C">
            <w:pPr>
              <w:jc w:val="center"/>
              <w:rPr>
                <w:rFonts w:ascii="Courier New" w:hAnsi="Courier New"/>
                <w:b/>
                <w:bCs/>
                <w:rtl/>
              </w:rPr>
            </w:pPr>
            <w:r>
              <w:rPr>
                <w:rFonts w:ascii="Courier New" w:hAnsi="Courier New"/>
                <w:b/>
                <w:bCs/>
                <w:rtl/>
              </w:rPr>
              <w:t>יונה אטדגי, שופט</w:t>
            </w:r>
          </w:p>
          <w:p w:rsidR="002E3B62" w:rsidRPr="00BF3AE2" w:rsidRDefault="002E3B62" w:rsidP="00BF3AE2">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2E3B62" w:rsidRPr="00BF3AE2" w:rsidRDefault="002E3B62" w:rsidP="00BF3AE2">
            <w:pPr>
              <w:jc w:val="center"/>
              <w:rPr>
                <w:rFonts w:ascii="Courier New" w:hAnsi="Courier New"/>
                <w:b/>
                <w:bCs/>
                <w:lang w:eastAsia="he-IL"/>
              </w:rPr>
            </w:pPr>
          </w:p>
        </w:tc>
        <w:tc>
          <w:tcPr>
            <w:tcW w:w="2289" w:type="dxa"/>
            <w:tcBorders>
              <w:top w:val="single" w:sz="4" w:space="0" w:color="auto"/>
              <w:left w:val="nil"/>
              <w:bottom w:val="nil"/>
              <w:right w:val="nil"/>
            </w:tcBorders>
          </w:tcPr>
          <w:p w:rsidR="002E3B62" w:rsidRPr="00BF3AE2" w:rsidRDefault="002E3B62" w:rsidP="00BF3AE2">
            <w:pPr>
              <w:jc w:val="center"/>
              <w:rPr>
                <w:rFonts w:ascii="Courier New" w:hAnsi="Courier New"/>
                <w:b/>
                <w:bCs/>
                <w:lang w:eastAsia="he-IL"/>
              </w:rPr>
            </w:pPr>
            <w:r>
              <w:rPr>
                <w:rFonts w:ascii="Courier New" w:hAnsi="Courier New" w:hint="cs"/>
                <w:b/>
                <w:bCs/>
                <w:rtl/>
                <w:lang w:eastAsia="he-IL"/>
              </w:rPr>
              <w:t>עידית ברקוביץ</w:t>
            </w:r>
            <w:r w:rsidRPr="00BF3AE2">
              <w:rPr>
                <w:rFonts w:ascii="Courier New" w:hAnsi="Courier New"/>
                <w:b/>
                <w:bCs/>
                <w:rtl/>
                <w:lang w:eastAsia="he-IL"/>
              </w:rPr>
              <w:t>, שופטת</w:t>
            </w:r>
          </w:p>
        </w:tc>
        <w:tc>
          <w:tcPr>
            <w:tcW w:w="300" w:type="dxa"/>
          </w:tcPr>
          <w:p w:rsidR="002E3B62" w:rsidRPr="00BF3AE2" w:rsidRDefault="002E3B62" w:rsidP="00BF3AE2">
            <w:pPr>
              <w:jc w:val="center"/>
              <w:rPr>
                <w:rFonts w:ascii="Courier New" w:hAnsi="Courier New"/>
                <w:b/>
                <w:bCs/>
                <w:lang w:eastAsia="he-IL"/>
              </w:rPr>
            </w:pPr>
          </w:p>
        </w:tc>
        <w:tc>
          <w:tcPr>
            <w:tcW w:w="2737" w:type="dxa"/>
            <w:tcBorders>
              <w:top w:val="single" w:sz="4" w:space="0" w:color="auto"/>
              <w:left w:val="nil"/>
              <w:bottom w:val="nil"/>
              <w:right w:val="nil"/>
            </w:tcBorders>
          </w:tcPr>
          <w:p w:rsidR="002E3B62" w:rsidRPr="00BF3AE2" w:rsidRDefault="002E3B62" w:rsidP="00F27E06">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CCA471E1E653404DB64A990CD6B024C6"/>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694556" w:rsidRDefault="00694556" w:rsidP="002E3B62">
      <w:pPr>
        <w:spacing w:line="360" w:lineRule="auto"/>
        <w:jc w:val="both"/>
        <w:rPr>
          <w:rFonts w:ascii="Arial" w:hAnsi="Arial"/>
          <w:noProof w:val="0"/>
          <w:rtl/>
        </w:rPr>
      </w:pPr>
    </w:p>
    <w:sectPr w:rsidR="00694556" w:rsidSect="0058531B">
      <w:headerReference w:type="even" r:id="rId24"/>
      <w:headerReference w:type="default" r:id="rId25"/>
      <w:footerReference w:type="even" r:id="rId26"/>
      <w:footerReference w:type="default" r:id="rId27"/>
      <w:headerReference w:type="first" r:id="rId28"/>
      <w:footerReference w:type="first" r:id="rId29"/>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7D1" w:rsidRDefault="000517D1">
      <w:r>
        <w:separator/>
      </w:r>
    </w:p>
  </w:endnote>
  <w:endnote w:type="continuationSeparator" w:id="0">
    <w:p w:rsidR="000517D1" w:rsidRDefault="0005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F2" w:rsidRDefault="009940F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A49D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A49D5">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F2" w:rsidRDefault="009940F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7D1" w:rsidRDefault="000517D1">
      <w:r>
        <w:separator/>
      </w:r>
    </w:p>
  </w:footnote>
  <w:footnote w:type="continuationSeparator" w:id="0">
    <w:p w:rsidR="000517D1" w:rsidRDefault="0005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F2" w:rsidRDefault="009940F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0517D1">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19558-04-24</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אליהו נ' חלמיש חברה ממשלתית עירונית לדיור לשיקום ולהתחדשות</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0F2" w:rsidRDefault="009940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D"/>
    <w:multiLevelType w:val="hybridMultilevel"/>
    <w:tmpl w:val="0494E5C6"/>
    <w:lvl w:ilvl="0" w:tplc="9F90C19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9050F9"/>
    <w:multiLevelType w:val="hybridMultilevel"/>
    <w:tmpl w:val="7E5CFC04"/>
    <w:lvl w:ilvl="0" w:tplc="0F3E0BF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2C3203F"/>
    <w:multiLevelType w:val="hybridMultilevel"/>
    <w:tmpl w:val="65782804"/>
    <w:lvl w:ilvl="0" w:tplc="8848A5F0">
      <w:start w:val="1"/>
      <w:numFmt w:val="hebrew1"/>
      <w:lvlText w:val="%1."/>
      <w:lvlJc w:val="left"/>
      <w:pPr>
        <w:ind w:left="1011" w:hanging="360"/>
      </w:p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05FB"/>
    <w:rsid w:val="000258FD"/>
    <w:rsid w:val="000517D1"/>
    <w:rsid w:val="000564AB"/>
    <w:rsid w:val="000B2E97"/>
    <w:rsid w:val="000D4A02"/>
    <w:rsid w:val="001072A9"/>
    <w:rsid w:val="00111854"/>
    <w:rsid w:val="00121F97"/>
    <w:rsid w:val="001277D7"/>
    <w:rsid w:val="00132017"/>
    <w:rsid w:val="0014234E"/>
    <w:rsid w:val="00145A87"/>
    <w:rsid w:val="00150E7E"/>
    <w:rsid w:val="001C4003"/>
    <w:rsid w:val="001F5474"/>
    <w:rsid w:val="002352F7"/>
    <w:rsid w:val="00256797"/>
    <w:rsid w:val="00295DD1"/>
    <w:rsid w:val="002E3B62"/>
    <w:rsid w:val="00367EB6"/>
    <w:rsid w:val="00381D3A"/>
    <w:rsid w:val="003823DA"/>
    <w:rsid w:val="0043595F"/>
    <w:rsid w:val="0047645A"/>
    <w:rsid w:val="004D49A3"/>
    <w:rsid w:val="004E6E3C"/>
    <w:rsid w:val="005124F1"/>
    <w:rsid w:val="0051350E"/>
    <w:rsid w:val="00530BAD"/>
    <w:rsid w:val="00541598"/>
    <w:rsid w:val="00547DB7"/>
    <w:rsid w:val="00567324"/>
    <w:rsid w:val="0058531B"/>
    <w:rsid w:val="005B0F49"/>
    <w:rsid w:val="005C7EC6"/>
    <w:rsid w:val="005D4BDB"/>
    <w:rsid w:val="00622BAA"/>
    <w:rsid w:val="00625C89"/>
    <w:rsid w:val="00633C4F"/>
    <w:rsid w:val="00671BD5"/>
    <w:rsid w:val="006805C1"/>
    <w:rsid w:val="006816EC"/>
    <w:rsid w:val="00694556"/>
    <w:rsid w:val="006B5553"/>
    <w:rsid w:val="006E1A53"/>
    <w:rsid w:val="006E4951"/>
    <w:rsid w:val="007056AA"/>
    <w:rsid w:val="00744F41"/>
    <w:rsid w:val="007A24FE"/>
    <w:rsid w:val="007A35AA"/>
    <w:rsid w:val="007F1048"/>
    <w:rsid w:val="00820005"/>
    <w:rsid w:val="0083107C"/>
    <w:rsid w:val="00846D27"/>
    <w:rsid w:val="008610A7"/>
    <w:rsid w:val="008A49D5"/>
    <w:rsid w:val="008E1332"/>
    <w:rsid w:val="00903896"/>
    <w:rsid w:val="00927813"/>
    <w:rsid w:val="009314FC"/>
    <w:rsid w:val="00944D13"/>
    <w:rsid w:val="0095468B"/>
    <w:rsid w:val="00957C90"/>
    <w:rsid w:val="009940F2"/>
    <w:rsid w:val="009E0263"/>
    <w:rsid w:val="00A0260A"/>
    <w:rsid w:val="00A267CF"/>
    <w:rsid w:val="00A36C11"/>
    <w:rsid w:val="00A43458"/>
    <w:rsid w:val="00AC4E19"/>
    <w:rsid w:val="00AF1ED6"/>
    <w:rsid w:val="00B26B63"/>
    <w:rsid w:val="00B32C61"/>
    <w:rsid w:val="00B368FE"/>
    <w:rsid w:val="00B80CBD"/>
    <w:rsid w:val="00BC3369"/>
    <w:rsid w:val="00BF77EE"/>
    <w:rsid w:val="00C32E0F"/>
    <w:rsid w:val="00C42BF9"/>
    <w:rsid w:val="00C83E56"/>
    <w:rsid w:val="00CD0055"/>
    <w:rsid w:val="00D319B3"/>
    <w:rsid w:val="00D53924"/>
    <w:rsid w:val="00D60849"/>
    <w:rsid w:val="00D96D8C"/>
    <w:rsid w:val="00DD337E"/>
    <w:rsid w:val="00E00B6F"/>
    <w:rsid w:val="00E50B33"/>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58531B"/>
    <w:rPr>
      <w:color w:val="0563C1"/>
      <w:u w:val="single"/>
    </w:rPr>
  </w:style>
  <w:style w:type="paragraph" w:styleId="ad">
    <w:name w:val="List Paragraph"/>
    <w:basedOn w:val="a"/>
    <w:qFormat/>
    <w:rsid w:val="00585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38021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828/3" TargetMode="External"/><Relationship Id="rId13" Type="http://schemas.openxmlformats.org/officeDocument/2006/relationships/hyperlink" Target="http://www.nevo.co.il/law/73391/70" TargetMode="External"/><Relationship Id="rId18" Type="http://schemas.openxmlformats.org/officeDocument/2006/relationships/hyperlink" Target="http://www.nevo.co.il/law/71828/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jpg"/><Relationship Id="rId7" Type="http://schemas.openxmlformats.org/officeDocument/2006/relationships/endnotes" Target="endnotes.xml"/><Relationship Id="rId12" Type="http://schemas.openxmlformats.org/officeDocument/2006/relationships/hyperlink" Target="http://www.nevo.co.il/law/73391" TargetMode="External"/><Relationship Id="rId17" Type="http://schemas.openxmlformats.org/officeDocument/2006/relationships/hyperlink" Target="http://www.nevo.co.il/law/71828/3.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nevo.co.il/law/71828/3.b" TargetMode="External"/><Relationship Id="rId20" Type="http://schemas.openxmlformats.org/officeDocument/2006/relationships/image" Target="media/image2.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1828/3.b"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evo.co.il/law/71828" TargetMode="External"/><Relationship Id="rId23" Type="http://schemas.openxmlformats.org/officeDocument/2006/relationships/oleObject" Target="embeddings/oleObject1.bin"/><Relationship Id="rId28" Type="http://schemas.openxmlformats.org/officeDocument/2006/relationships/header" Target="header3.xml"/><Relationship Id="rId10" Type="http://schemas.openxmlformats.org/officeDocument/2006/relationships/hyperlink" Target="http://www.nevo.co.il/law/71828/1" TargetMode="External"/><Relationship Id="rId19" Type="http://schemas.openxmlformats.org/officeDocument/2006/relationships/image" Target="media/image1.jp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law/71828" TargetMode="External"/><Relationship Id="rId14" Type="http://schemas.openxmlformats.org/officeDocument/2006/relationships/hyperlink" Target="http://www.nevo.co.il/law/71828" TargetMode="External"/><Relationship Id="rId22" Type="http://schemas.openxmlformats.org/officeDocument/2006/relationships/image" Target="media/image4.png"/><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23F56B94A54855BC5F4FA74D4207FF"/>
        <w:category>
          <w:name w:val="כללי"/>
          <w:gallery w:val="placeholder"/>
        </w:category>
        <w:types>
          <w:type w:val="bbPlcHdr"/>
        </w:types>
        <w:behaviors>
          <w:behavior w:val="content"/>
        </w:behaviors>
        <w:guid w:val="{38DD8324-5E26-4ED2-8716-CE90414A4C37}"/>
      </w:docPartPr>
      <w:docPartBody>
        <w:p w:rsidR="003D531C" w:rsidRDefault="00285F48" w:rsidP="00285F48">
          <w:pPr>
            <w:pStyle w:val="5A23F56B94A54855BC5F4FA74D4207FF"/>
          </w:pPr>
          <w:r>
            <w:rPr>
              <w:rFonts w:cs="David"/>
              <w:b/>
              <w:bCs/>
              <w:rtl/>
            </w:rPr>
            <w:t>שם פרטי חותם</w:t>
          </w:r>
        </w:p>
      </w:docPartBody>
    </w:docPart>
    <w:docPart>
      <w:docPartPr>
        <w:name w:val="AD3711EFBF2340D78F682FA75BA144CF"/>
        <w:category>
          <w:name w:val="כללי"/>
          <w:gallery w:val="placeholder"/>
        </w:category>
        <w:types>
          <w:type w:val="bbPlcHdr"/>
        </w:types>
        <w:behaviors>
          <w:behavior w:val="content"/>
        </w:behaviors>
        <w:guid w:val="{BE900595-FA9A-4F34-93F3-754BA3717AB5}"/>
      </w:docPartPr>
      <w:docPartBody>
        <w:p w:rsidR="003D531C" w:rsidRDefault="00285F48" w:rsidP="00285F48">
          <w:pPr>
            <w:pStyle w:val="AD3711EFBF2340D78F682FA75BA144CF"/>
          </w:pPr>
          <w:r>
            <w:rPr>
              <w:rFonts w:cs="David"/>
              <w:b/>
              <w:bCs/>
              <w:rtl/>
            </w:rPr>
            <w:t>שם משפחה חותם</w:t>
          </w:r>
        </w:p>
      </w:docPartBody>
    </w:docPart>
    <w:docPart>
      <w:docPartPr>
        <w:name w:val="CCA471E1E653404DB64A990CD6B024C6"/>
        <w:category>
          <w:name w:val="כללי"/>
          <w:gallery w:val="placeholder"/>
        </w:category>
        <w:types>
          <w:type w:val="bbPlcHdr"/>
        </w:types>
        <w:behaviors>
          <w:behavior w:val="content"/>
        </w:behaviors>
        <w:guid w:val="{A8D5B624-81AF-4C38-8DFF-29F3EBF91830}"/>
      </w:docPartPr>
      <w:docPartBody>
        <w:p w:rsidR="003D531C" w:rsidRDefault="00285F48" w:rsidP="00285F48">
          <w:pPr>
            <w:pStyle w:val="CCA471E1E653404DB64A990CD6B024C6"/>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285F48"/>
    <w:rsid w:val="00316301"/>
    <w:rsid w:val="003D531C"/>
    <w:rsid w:val="003E605E"/>
    <w:rsid w:val="00CC5512"/>
    <w:rsid w:val="00F942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671E9A71D4A34C269D8F455FF9E33227">
    <w:name w:val="671E9A71D4A34C269D8F455FF9E33227"/>
    <w:rsid w:val="00285F48"/>
    <w:pPr>
      <w:bidi/>
    </w:pPr>
  </w:style>
  <w:style w:type="paragraph" w:customStyle="1" w:styleId="56AC9671C120403E83F6DFEA1A9F9106">
    <w:name w:val="56AC9671C120403E83F6DFEA1A9F9106"/>
    <w:rsid w:val="00285F48"/>
    <w:pPr>
      <w:bidi/>
    </w:pPr>
  </w:style>
  <w:style w:type="paragraph" w:customStyle="1" w:styleId="5A23F56B94A54855BC5F4FA74D4207FF">
    <w:name w:val="5A23F56B94A54855BC5F4FA74D4207FF"/>
    <w:rsid w:val="00285F48"/>
    <w:pPr>
      <w:bidi/>
    </w:pPr>
  </w:style>
  <w:style w:type="paragraph" w:customStyle="1" w:styleId="AD3711EFBF2340D78F682FA75BA144CF">
    <w:name w:val="AD3711EFBF2340D78F682FA75BA144CF"/>
    <w:rsid w:val="00285F48"/>
    <w:pPr>
      <w:bidi/>
    </w:pPr>
  </w:style>
  <w:style w:type="paragraph" w:customStyle="1" w:styleId="CCA471E1E653404DB64A990CD6B024C6">
    <w:name w:val="CCA471E1E653404DB64A990CD6B024C6"/>
    <w:rsid w:val="00285F4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1656</Words>
  <Characters>8282</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2024-12-01T15:12:00Z</cp:lastPrinted>
  <dcterms:created xsi:type="dcterms:W3CDTF">2024-12-03T08:17:00Z</dcterms:created>
  <dcterms:modified xsi:type="dcterms:W3CDTF">2024-12-03T08:17:00Z</dcterms:modified>
</cp:coreProperties>
</file>